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0AFF5" w14:textId="77777777" w:rsidR="00A46BD2" w:rsidRPr="00B60E1B" w:rsidRDefault="00A46BD2" w:rsidP="00A46BD2">
      <w:pPr>
        <w:widowControl w:val="0"/>
        <w:tabs>
          <w:tab w:val="left" w:pos="2127"/>
        </w:tabs>
        <w:spacing w:before="120" w:after="120" w:line="360" w:lineRule="auto"/>
        <w:ind w:left="2127" w:hanging="2127"/>
        <w:rPr>
          <w:rFonts w:ascii="Arial" w:eastAsia="SimSun" w:hAnsi="Arial" w:cs="Arial"/>
          <w:b/>
          <w:lang w:val="en-US"/>
        </w:rPr>
      </w:pPr>
      <w:r w:rsidRPr="00B60E1B">
        <w:rPr>
          <w:rFonts w:ascii="Arial" w:eastAsia="SimSun" w:hAnsi="Arial" w:cs="Arial"/>
          <w:b/>
        </w:rPr>
        <w:t>Source:</w:t>
      </w:r>
      <w:r w:rsidRPr="00B60E1B">
        <w:rPr>
          <w:rFonts w:ascii="Arial" w:eastAsia="SimSun" w:hAnsi="Arial" w:cs="Arial"/>
          <w:b/>
        </w:rPr>
        <w:tab/>
        <w:t>Bytedance</w:t>
      </w:r>
      <w:r w:rsidRPr="00B60E1B">
        <w:rPr>
          <w:rFonts w:ascii="Arial" w:eastAsia="SimSun" w:hAnsi="Arial" w:cs="Arial"/>
          <w:b/>
          <w:lang w:val="en-US"/>
        </w:rPr>
        <w:t xml:space="preserve"> </w:t>
      </w:r>
    </w:p>
    <w:p w14:paraId="795B0A5D" w14:textId="54D86EEC" w:rsidR="00A46BD2" w:rsidRPr="00B60E1B"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Title:</w:t>
      </w:r>
      <w:r w:rsidRPr="00B60E1B">
        <w:rPr>
          <w:rFonts w:ascii="Arial" w:eastAsia="SimSun" w:hAnsi="Arial" w:cs="Arial"/>
          <w:b/>
        </w:rPr>
        <w:tab/>
      </w:r>
      <w:bookmarkStart w:id="0" w:name="_Hlk166401090"/>
      <w:r w:rsidRPr="00B60E1B">
        <w:rPr>
          <w:rFonts w:ascii="Arial" w:eastAsia="SimSun" w:hAnsi="Arial" w:cs="Arial"/>
          <w:b/>
          <w:lang w:val="en-US"/>
        </w:rPr>
        <w:t>[ATIAS ph2]</w:t>
      </w:r>
      <w:bookmarkEnd w:id="0"/>
      <w:r w:rsidRPr="00B60E1B">
        <w:rPr>
          <w:rFonts w:ascii="Arial" w:eastAsia="SimSun" w:hAnsi="Arial" w:cs="Arial"/>
          <w:b/>
          <w:lang w:val="en-US"/>
        </w:rPr>
        <w:t xml:space="preserve"> </w:t>
      </w:r>
      <w:r w:rsidRPr="00A46BD2">
        <w:rPr>
          <w:rFonts w:ascii="Arial" w:eastAsia="SimSun" w:hAnsi="Arial" w:cs="Arial"/>
          <w:b/>
          <w:lang w:val="en-US"/>
        </w:rPr>
        <w:t>Objective Test Methods for Capturing Immersive Audio with Moving Sound Source</w:t>
      </w:r>
    </w:p>
    <w:p w14:paraId="34A9931D" w14:textId="77777777" w:rsidR="00A46BD2" w:rsidRPr="00B60E1B" w:rsidRDefault="00A46BD2" w:rsidP="00A46BD2">
      <w:pPr>
        <w:widowControl w:val="0"/>
        <w:tabs>
          <w:tab w:val="left" w:pos="2127"/>
        </w:tabs>
        <w:spacing w:after="120" w:line="360" w:lineRule="auto"/>
        <w:ind w:left="2131" w:hanging="2131"/>
        <w:rPr>
          <w:rFonts w:ascii="Arial" w:eastAsia="SimSun" w:hAnsi="Arial" w:cs="Arial"/>
          <w:b/>
        </w:rPr>
      </w:pPr>
      <w:r w:rsidRPr="00B60E1B">
        <w:rPr>
          <w:rFonts w:ascii="Arial" w:eastAsia="SimSun" w:hAnsi="Arial" w:cs="Arial"/>
          <w:b/>
        </w:rPr>
        <w:t>Document for:</w:t>
      </w:r>
      <w:r w:rsidRPr="00B60E1B">
        <w:rPr>
          <w:rFonts w:ascii="Arial" w:eastAsia="SimSun" w:hAnsi="Arial" w:cs="Arial"/>
          <w:b/>
        </w:rPr>
        <w:tab/>
        <w:t>Discussion and Agreement</w:t>
      </w:r>
    </w:p>
    <w:p w14:paraId="070CD821" w14:textId="0C79FA4D" w:rsidR="0066202E" w:rsidRPr="00A46BD2"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Agenda Item:</w:t>
      </w:r>
      <w:r w:rsidRPr="00B60E1B">
        <w:rPr>
          <w:rFonts w:ascii="Arial" w:eastAsia="SimSun" w:hAnsi="Arial" w:cs="Arial"/>
          <w:b/>
        </w:rPr>
        <w:tab/>
      </w:r>
      <w:r>
        <w:rPr>
          <w:rFonts w:ascii="Arial" w:eastAsia="SimSun" w:hAnsi="Arial" w:cs="Arial"/>
          <w:b/>
          <w:lang w:val="en-US"/>
        </w:rPr>
        <w:t>1.6</w:t>
      </w:r>
    </w:p>
    <w:p w14:paraId="61318BC2" w14:textId="77777777" w:rsidR="00202157" w:rsidRPr="00B60E1B" w:rsidRDefault="00202157" w:rsidP="00202157">
      <w:pPr>
        <w:pStyle w:val="Heading1"/>
        <w:spacing w:line="360" w:lineRule="auto"/>
        <w:rPr>
          <w:rFonts w:cs="Arial"/>
        </w:rPr>
      </w:pPr>
      <w:r w:rsidRPr="00B60E1B">
        <w:rPr>
          <w:rFonts w:cs="Arial"/>
        </w:rPr>
        <w:t>1 Introduction</w:t>
      </w:r>
    </w:p>
    <w:p w14:paraId="3A03A1E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In previous specs, objective test methods were proposed for spatial audio capturing, including tests for user capture and spatial capture. In user capture tests, sound source is a loudspeaker placed at mouth of a dummy (HATS); In spatial capture tests, sound source is the same configured dummy placed around the tested UE. </w:t>
      </w:r>
    </w:p>
    <w:p w14:paraId="38660B8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Currently sound sources are placed at following locations relative to UE [2]:</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335"/>
        <w:gridCol w:w="3405"/>
        <w:gridCol w:w="3525"/>
      </w:tblGrid>
      <w:tr w:rsidR="0066202E" w:rsidRPr="00A46BD2" w14:paraId="28414366" w14:textId="77777777">
        <w:tblPrEx>
          <w:tblCellMar>
            <w:top w:w="0" w:type="dxa"/>
            <w:bottom w:w="0" w:type="dxa"/>
          </w:tblCellMar>
        </w:tblPrEx>
        <w:tc>
          <w:tcPr>
            <w:tcW w:w="1335" w:type="dxa"/>
            <w:tcMar>
              <w:top w:w="60" w:type="dxa"/>
              <w:left w:w="120" w:type="dxa"/>
              <w:bottom w:w="30" w:type="dxa"/>
              <w:right w:w="120" w:type="dxa"/>
            </w:tcMar>
          </w:tcPr>
          <w:p w14:paraId="3DD43AB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UE Type</w:t>
            </w:r>
          </w:p>
        </w:tc>
        <w:tc>
          <w:tcPr>
            <w:tcW w:w="3405" w:type="dxa"/>
            <w:tcMar>
              <w:top w:w="60" w:type="dxa"/>
              <w:left w:w="120" w:type="dxa"/>
              <w:bottom w:w="30" w:type="dxa"/>
              <w:right w:w="120" w:type="dxa"/>
            </w:tcMar>
          </w:tcPr>
          <w:p w14:paraId="11DE4D9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Self-capture test</w:t>
            </w:r>
          </w:p>
        </w:tc>
        <w:tc>
          <w:tcPr>
            <w:tcW w:w="3525" w:type="dxa"/>
            <w:tcMar>
              <w:top w:w="60" w:type="dxa"/>
              <w:left w:w="120" w:type="dxa"/>
              <w:bottom w:w="30" w:type="dxa"/>
              <w:right w:w="120" w:type="dxa"/>
            </w:tcMar>
          </w:tcPr>
          <w:p w14:paraId="18524C2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Spatial capture test</w:t>
            </w:r>
          </w:p>
        </w:tc>
      </w:tr>
      <w:tr w:rsidR="0066202E" w:rsidRPr="00A46BD2" w14:paraId="191A01CB" w14:textId="77777777">
        <w:tblPrEx>
          <w:tblCellMar>
            <w:top w:w="0" w:type="dxa"/>
            <w:bottom w:w="0" w:type="dxa"/>
          </w:tblCellMar>
        </w:tblPrEx>
        <w:tc>
          <w:tcPr>
            <w:tcW w:w="1335" w:type="dxa"/>
            <w:tcMar>
              <w:top w:w="60" w:type="dxa"/>
              <w:left w:w="120" w:type="dxa"/>
              <w:bottom w:w="30" w:type="dxa"/>
              <w:right w:w="120" w:type="dxa"/>
            </w:tcMar>
          </w:tcPr>
          <w:p w14:paraId="6AC36CDB"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Headset   UE</w:t>
            </w:r>
          </w:p>
        </w:tc>
        <w:tc>
          <w:tcPr>
            <w:tcW w:w="3405" w:type="dxa"/>
            <w:tcMar>
              <w:top w:w="60" w:type="dxa"/>
              <w:left w:w="120" w:type="dxa"/>
              <w:bottom w:w="30" w:type="dxa"/>
              <w:right w:w="120" w:type="dxa"/>
            </w:tcMar>
          </w:tcPr>
          <w:p w14:paraId="6633EE5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Artificial mouth of HATS</w:t>
            </w:r>
          </w:p>
        </w:tc>
        <w:tc>
          <w:tcPr>
            <w:tcW w:w="3525" w:type="dxa"/>
            <w:tcMar>
              <w:top w:w="60" w:type="dxa"/>
              <w:left w:w="120" w:type="dxa"/>
              <w:bottom w:w="30" w:type="dxa"/>
              <w:right w:w="120" w:type="dxa"/>
            </w:tcMar>
          </w:tcPr>
          <w:p w14:paraId="714C5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096F4F93" w14:textId="77777777">
        <w:tblPrEx>
          <w:tblCellMar>
            <w:top w:w="0" w:type="dxa"/>
            <w:bottom w:w="0" w:type="dxa"/>
          </w:tblCellMar>
        </w:tblPrEx>
        <w:tc>
          <w:tcPr>
            <w:tcW w:w="1335" w:type="dxa"/>
            <w:tcMar>
              <w:top w:w="60" w:type="dxa"/>
              <w:left w:w="120" w:type="dxa"/>
              <w:bottom w:w="30" w:type="dxa"/>
              <w:right w:w="120" w:type="dxa"/>
            </w:tcMar>
          </w:tcPr>
          <w:p w14:paraId="15C39374"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Handheld hands-free UE</w:t>
            </w:r>
          </w:p>
        </w:tc>
        <w:tc>
          <w:tcPr>
            <w:tcW w:w="3405" w:type="dxa"/>
            <w:tcMar>
              <w:top w:w="60" w:type="dxa"/>
              <w:left w:w="120" w:type="dxa"/>
              <w:bottom w:w="30" w:type="dxa"/>
              <w:right w:w="120" w:type="dxa"/>
            </w:tcMar>
          </w:tcPr>
          <w:p w14:paraId="0AFC804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42 cm from the center point of the visual display of the UE </w:t>
            </w:r>
          </w:p>
        </w:tc>
        <w:tc>
          <w:tcPr>
            <w:tcW w:w="3525" w:type="dxa"/>
            <w:tcMar>
              <w:top w:w="60" w:type="dxa"/>
              <w:left w:w="120" w:type="dxa"/>
              <w:bottom w:w="30" w:type="dxa"/>
              <w:right w:w="120" w:type="dxa"/>
            </w:tcMar>
          </w:tcPr>
          <w:p w14:paraId="13D264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18CA5B3F" w14:textId="77777777">
        <w:tblPrEx>
          <w:tblCellMar>
            <w:top w:w="0" w:type="dxa"/>
            <w:bottom w:w="0" w:type="dxa"/>
          </w:tblCellMar>
        </w:tblPrEx>
        <w:tc>
          <w:tcPr>
            <w:tcW w:w="1335" w:type="dxa"/>
            <w:tcMar>
              <w:top w:w="60" w:type="dxa"/>
              <w:left w:w="120" w:type="dxa"/>
              <w:bottom w:w="30" w:type="dxa"/>
              <w:right w:w="120" w:type="dxa"/>
            </w:tcMar>
          </w:tcPr>
          <w:p w14:paraId="0E4C74A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Table-mounted UE</w:t>
            </w:r>
          </w:p>
        </w:tc>
        <w:tc>
          <w:tcPr>
            <w:tcW w:w="3405" w:type="dxa"/>
            <w:tcMar>
              <w:top w:w="60" w:type="dxa"/>
              <w:left w:w="120" w:type="dxa"/>
              <w:bottom w:w="30" w:type="dxa"/>
              <w:right w:w="120" w:type="dxa"/>
            </w:tcMar>
          </w:tcPr>
          <w:p w14:paraId="2622D6C6"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40 cm between UE and lip reference plane and a height of 40 cm </w:t>
            </w:r>
          </w:p>
        </w:tc>
        <w:tc>
          <w:tcPr>
            <w:tcW w:w="3525" w:type="dxa"/>
            <w:tcMar>
              <w:top w:w="60" w:type="dxa"/>
              <w:left w:w="120" w:type="dxa"/>
              <w:bottom w:w="30" w:type="dxa"/>
              <w:right w:w="120" w:type="dxa"/>
            </w:tcMar>
          </w:tcPr>
          <w:p w14:paraId="21962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 azimuth, 26.6° elevation   and 89.4 cm relative to the reference point of the HATS</w:t>
            </w:r>
          </w:p>
        </w:tc>
      </w:tr>
    </w:tbl>
    <w:p w14:paraId="261B419A"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1. Existing sound source positions in capture tests of UEs</w:t>
      </w:r>
    </w:p>
    <w:p w14:paraId="7EB06FE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And in tests for directional information, several additional source positions are selected for spatial capture tests, including [2]: </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125"/>
        <w:gridCol w:w="2355"/>
        <w:gridCol w:w="2355"/>
      </w:tblGrid>
      <w:tr w:rsidR="0066202E" w:rsidRPr="00A46BD2" w14:paraId="2ECB25AA" w14:textId="77777777">
        <w:tblPrEx>
          <w:tblCellMar>
            <w:top w:w="0" w:type="dxa"/>
            <w:bottom w:w="0" w:type="dxa"/>
          </w:tblCellMar>
        </w:tblPrEx>
        <w:tc>
          <w:tcPr>
            <w:tcW w:w="1125" w:type="dxa"/>
            <w:tcMar>
              <w:top w:w="60" w:type="dxa"/>
              <w:left w:w="120" w:type="dxa"/>
              <w:bottom w:w="30" w:type="dxa"/>
              <w:right w:w="120" w:type="dxa"/>
            </w:tcMar>
          </w:tcPr>
          <w:p w14:paraId="51C1211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i</w:t>
            </w:r>
          </w:p>
        </w:tc>
        <w:tc>
          <w:tcPr>
            <w:tcW w:w="2355" w:type="dxa"/>
            <w:tcMar>
              <w:top w:w="60" w:type="dxa"/>
              <w:left w:w="120" w:type="dxa"/>
              <w:bottom w:w="30" w:type="dxa"/>
              <w:right w:w="120" w:type="dxa"/>
            </w:tcMar>
          </w:tcPr>
          <w:p w14:paraId="79206B0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Source azimuth</w:t>
            </w:r>
            <m:oMath>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i</m:t>
                  </m:r>
                </m:sub>
              </m:sSub>
            </m:oMath>
          </w:p>
          <w:p w14:paraId="6BB6609A" w14:textId="77777777" w:rsidR="0066202E" w:rsidRPr="00A46BD2" w:rsidRDefault="0066202E">
            <w:pPr>
              <w:spacing w:before="120" w:after="120" w:line="288" w:lineRule="auto"/>
              <w:jc w:val="center"/>
              <w:rPr>
                <w:sz w:val="22"/>
                <w:szCs w:val="22"/>
              </w:rPr>
            </w:pPr>
          </w:p>
        </w:tc>
        <w:tc>
          <w:tcPr>
            <w:tcW w:w="2355" w:type="dxa"/>
            <w:tcMar>
              <w:top w:w="60" w:type="dxa"/>
              <w:left w:w="120" w:type="dxa"/>
              <w:bottom w:w="30" w:type="dxa"/>
              <w:right w:w="120" w:type="dxa"/>
            </w:tcMar>
          </w:tcPr>
          <w:p w14:paraId="4EA4E03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 xml:space="preserve">Source elevation </w:t>
            </w:r>
            <m:oMath>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oMath>
          </w:p>
          <w:p w14:paraId="263A89F4" w14:textId="77777777" w:rsidR="0066202E" w:rsidRPr="00A46BD2" w:rsidRDefault="0066202E">
            <w:pPr>
              <w:spacing w:before="120" w:after="120" w:line="288" w:lineRule="auto"/>
              <w:jc w:val="center"/>
              <w:rPr>
                <w:sz w:val="22"/>
                <w:szCs w:val="22"/>
              </w:rPr>
            </w:pPr>
          </w:p>
        </w:tc>
      </w:tr>
      <w:tr w:rsidR="0066202E" w:rsidRPr="00A46BD2" w14:paraId="64E259DA" w14:textId="77777777">
        <w:tblPrEx>
          <w:tblCellMar>
            <w:top w:w="0" w:type="dxa"/>
            <w:bottom w:w="0" w:type="dxa"/>
          </w:tblCellMar>
        </w:tblPrEx>
        <w:tc>
          <w:tcPr>
            <w:tcW w:w="1125" w:type="dxa"/>
            <w:tcMar>
              <w:top w:w="60" w:type="dxa"/>
              <w:left w:w="120" w:type="dxa"/>
              <w:bottom w:w="30" w:type="dxa"/>
              <w:right w:w="120" w:type="dxa"/>
            </w:tcMar>
          </w:tcPr>
          <w:p w14:paraId="4270C44C"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1</w:t>
            </w:r>
          </w:p>
        </w:tc>
        <w:tc>
          <w:tcPr>
            <w:tcW w:w="2355" w:type="dxa"/>
            <w:tcMar>
              <w:top w:w="60" w:type="dxa"/>
              <w:left w:w="120" w:type="dxa"/>
              <w:bottom w:w="30" w:type="dxa"/>
              <w:right w:w="120" w:type="dxa"/>
            </w:tcMar>
          </w:tcPr>
          <w:p w14:paraId="7B2773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3391367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41BDA8A2" w14:textId="77777777">
        <w:tblPrEx>
          <w:tblCellMar>
            <w:top w:w="0" w:type="dxa"/>
            <w:bottom w:w="0" w:type="dxa"/>
          </w:tblCellMar>
        </w:tblPrEx>
        <w:tc>
          <w:tcPr>
            <w:tcW w:w="1125" w:type="dxa"/>
            <w:tcMar>
              <w:top w:w="60" w:type="dxa"/>
              <w:left w:w="120" w:type="dxa"/>
              <w:bottom w:w="30" w:type="dxa"/>
              <w:right w:w="120" w:type="dxa"/>
            </w:tcMar>
          </w:tcPr>
          <w:p w14:paraId="5A9DE10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2</w:t>
            </w:r>
          </w:p>
        </w:tc>
        <w:tc>
          <w:tcPr>
            <w:tcW w:w="2355" w:type="dxa"/>
            <w:tcMar>
              <w:top w:w="60" w:type="dxa"/>
              <w:left w:w="120" w:type="dxa"/>
              <w:bottom w:w="30" w:type="dxa"/>
              <w:right w:w="120" w:type="dxa"/>
            </w:tcMar>
          </w:tcPr>
          <w:p w14:paraId="75CDB0E9"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6F08DA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CA9F945" w14:textId="77777777">
        <w:tblPrEx>
          <w:tblCellMar>
            <w:top w:w="0" w:type="dxa"/>
            <w:bottom w:w="0" w:type="dxa"/>
          </w:tblCellMar>
        </w:tblPrEx>
        <w:tc>
          <w:tcPr>
            <w:tcW w:w="1125" w:type="dxa"/>
            <w:tcMar>
              <w:top w:w="60" w:type="dxa"/>
              <w:left w:w="120" w:type="dxa"/>
              <w:bottom w:w="30" w:type="dxa"/>
              <w:right w:w="120" w:type="dxa"/>
            </w:tcMar>
          </w:tcPr>
          <w:p w14:paraId="23FB2C7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w:t>
            </w:r>
          </w:p>
        </w:tc>
        <w:tc>
          <w:tcPr>
            <w:tcW w:w="2355" w:type="dxa"/>
            <w:tcMar>
              <w:top w:w="60" w:type="dxa"/>
              <w:left w:w="120" w:type="dxa"/>
              <w:bottom w:w="30" w:type="dxa"/>
              <w:right w:w="120" w:type="dxa"/>
            </w:tcMar>
          </w:tcPr>
          <w:p w14:paraId="75E4998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5DE1DB6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049C073" w14:textId="77777777">
        <w:tblPrEx>
          <w:tblCellMar>
            <w:top w:w="0" w:type="dxa"/>
            <w:bottom w:w="0" w:type="dxa"/>
          </w:tblCellMar>
        </w:tblPrEx>
        <w:tc>
          <w:tcPr>
            <w:tcW w:w="1125" w:type="dxa"/>
            <w:tcMar>
              <w:top w:w="60" w:type="dxa"/>
              <w:left w:w="120" w:type="dxa"/>
              <w:bottom w:w="30" w:type="dxa"/>
              <w:right w:w="120" w:type="dxa"/>
            </w:tcMar>
          </w:tcPr>
          <w:p w14:paraId="5FCCAE8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lastRenderedPageBreak/>
              <w:t>4</w:t>
            </w:r>
          </w:p>
        </w:tc>
        <w:tc>
          <w:tcPr>
            <w:tcW w:w="2355" w:type="dxa"/>
            <w:tcMar>
              <w:top w:w="60" w:type="dxa"/>
              <w:left w:w="120" w:type="dxa"/>
              <w:bottom w:w="30" w:type="dxa"/>
              <w:right w:w="120" w:type="dxa"/>
            </w:tcMar>
          </w:tcPr>
          <w:p w14:paraId="4A50181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c>
          <w:tcPr>
            <w:tcW w:w="2355" w:type="dxa"/>
            <w:tcMar>
              <w:top w:w="60" w:type="dxa"/>
              <w:left w:w="120" w:type="dxa"/>
              <w:bottom w:w="30" w:type="dxa"/>
              <w:right w:w="120" w:type="dxa"/>
            </w:tcMar>
          </w:tcPr>
          <w:p w14:paraId="7DB8A9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4435FCC" w14:textId="77777777">
        <w:tblPrEx>
          <w:tblCellMar>
            <w:top w:w="0" w:type="dxa"/>
            <w:bottom w:w="0" w:type="dxa"/>
          </w:tblCellMar>
        </w:tblPrEx>
        <w:tc>
          <w:tcPr>
            <w:tcW w:w="1125" w:type="dxa"/>
            <w:tcMar>
              <w:top w:w="60" w:type="dxa"/>
              <w:left w:w="120" w:type="dxa"/>
              <w:bottom w:w="30" w:type="dxa"/>
              <w:right w:w="120" w:type="dxa"/>
            </w:tcMar>
          </w:tcPr>
          <w:p w14:paraId="1868D89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5</w:t>
            </w:r>
          </w:p>
        </w:tc>
        <w:tc>
          <w:tcPr>
            <w:tcW w:w="2355" w:type="dxa"/>
            <w:tcMar>
              <w:top w:w="60" w:type="dxa"/>
              <w:left w:w="120" w:type="dxa"/>
              <w:bottom w:w="30" w:type="dxa"/>
              <w:right w:w="120" w:type="dxa"/>
            </w:tcMar>
          </w:tcPr>
          <w:p w14:paraId="094ADAE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17BC778F"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0BE87A4B" w14:textId="77777777">
        <w:tblPrEx>
          <w:tblCellMar>
            <w:top w:w="0" w:type="dxa"/>
            <w:bottom w:w="0" w:type="dxa"/>
          </w:tblCellMar>
        </w:tblPrEx>
        <w:tc>
          <w:tcPr>
            <w:tcW w:w="1125" w:type="dxa"/>
            <w:tcMar>
              <w:top w:w="60" w:type="dxa"/>
              <w:left w:w="120" w:type="dxa"/>
              <w:bottom w:w="30" w:type="dxa"/>
              <w:right w:w="120" w:type="dxa"/>
            </w:tcMar>
          </w:tcPr>
          <w:p w14:paraId="17BEED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w:t>
            </w:r>
          </w:p>
        </w:tc>
        <w:tc>
          <w:tcPr>
            <w:tcW w:w="2355" w:type="dxa"/>
            <w:tcMar>
              <w:top w:w="60" w:type="dxa"/>
              <w:left w:w="120" w:type="dxa"/>
              <w:bottom w:w="30" w:type="dxa"/>
              <w:right w:w="120" w:type="dxa"/>
            </w:tcMar>
          </w:tcPr>
          <w:p w14:paraId="12A8348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59F44AD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F9D41E1" w14:textId="77777777">
        <w:tblPrEx>
          <w:tblCellMar>
            <w:top w:w="0" w:type="dxa"/>
            <w:bottom w:w="0" w:type="dxa"/>
          </w:tblCellMar>
        </w:tblPrEx>
        <w:tc>
          <w:tcPr>
            <w:tcW w:w="1125" w:type="dxa"/>
            <w:tcMar>
              <w:top w:w="60" w:type="dxa"/>
              <w:left w:w="120" w:type="dxa"/>
              <w:bottom w:w="30" w:type="dxa"/>
              <w:right w:w="120" w:type="dxa"/>
            </w:tcMar>
          </w:tcPr>
          <w:p w14:paraId="70A854B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7</w:t>
            </w:r>
          </w:p>
        </w:tc>
        <w:tc>
          <w:tcPr>
            <w:tcW w:w="2355" w:type="dxa"/>
            <w:tcMar>
              <w:top w:w="60" w:type="dxa"/>
              <w:left w:w="120" w:type="dxa"/>
              <w:bottom w:w="30" w:type="dxa"/>
              <w:right w:w="120" w:type="dxa"/>
            </w:tcMar>
          </w:tcPr>
          <w:p w14:paraId="04C665D8"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4A3DCAE3"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bl>
    <w:p w14:paraId="0EF51F4C"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2: Additional source directions</w:t>
      </w:r>
    </w:p>
    <w:p w14:paraId="6CBE4FD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However, all source locations are static. </w:t>
      </w:r>
    </w:p>
    <w:p w14:paraId="5C09016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From the information we gathered, it turns that we haven’t got a way to evaluate capturing fidelity when sound field contains moving sound sources, which arguably is the majority case in real life.</w:t>
      </w:r>
    </w:p>
    <w:p w14:paraId="6086DB33" w14:textId="77777777" w:rsidR="0066202E" w:rsidRPr="00202157" w:rsidRDefault="00000000" w:rsidP="00202157">
      <w:pPr>
        <w:pStyle w:val="Heading1"/>
        <w:spacing w:line="360" w:lineRule="auto"/>
        <w:rPr>
          <w:rFonts w:cs="Arial"/>
        </w:rPr>
      </w:pPr>
      <w:bookmarkStart w:id="1" w:name="heading_1"/>
      <w:r w:rsidRPr="00202157">
        <w:rPr>
          <w:rFonts w:cs="Arial"/>
        </w:rPr>
        <w:t>2 Discussions</w:t>
      </w:r>
      <w:bookmarkEnd w:id="1"/>
    </w:p>
    <w:p w14:paraId="3094221F"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order to evaluate sound field capturing capability with moving sound sources, we propose the following objective test method:</w:t>
      </w:r>
    </w:p>
    <w:p w14:paraId="3DEDDCFF" w14:textId="77777777" w:rsidR="0066202E" w:rsidRPr="00202157" w:rsidRDefault="00000000" w:rsidP="00202157">
      <w:pPr>
        <w:pStyle w:val="Heading2"/>
        <w:spacing w:line="360" w:lineRule="auto"/>
        <w:rPr>
          <w:rFonts w:cs="Arial"/>
          <w:lang w:val="en-US" w:eastAsia="zh-CN"/>
          <w14:ligatures w14:val="none"/>
        </w:rPr>
      </w:pPr>
      <w:bookmarkStart w:id="2" w:name="heading_2"/>
      <w:r w:rsidRPr="00202157">
        <w:rPr>
          <w:rFonts w:cs="Arial"/>
          <w:lang w:val="en-US" w:eastAsia="zh-CN"/>
          <w14:ligatures w14:val="none"/>
        </w:rPr>
        <w:t>2.1 Test Material</w:t>
      </w:r>
      <w:bookmarkEnd w:id="2"/>
    </w:p>
    <w:p w14:paraId="69440564"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White Noise, whose loudness is calibrated using the method described in clause 5.5.1 in 3GPP TS 26.260 [2].</w:t>
      </w:r>
    </w:p>
    <w:p w14:paraId="718FB69A" w14:textId="77777777" w:rsidR="0066202E" w:rsidRPr="00202157" w:rsidRDefault="00000000" w:rsidP="00202157">
      <w:pPr>
        <w:pStyle w:val="Heading2"/>
        <w:spacing w:line="360" w:lineRule="auto"/>
        <w:rPr>
          <w:rFonts w:cs="Arial"/>
          <w:lang w:val="en-US" w:eastAsia="zh-CN"/>
          <w14:ligatures w14:val="none"/>
        </w:rPr>
      </w:pPr>
      <w:bookmarkStart w:id="3" w:name="heading_3"/>
      <w:r w:rsidRPr="00202157">
        <w:rPr>
          <w:rFonts w:cs="Arial"/>
          <w:lang w:val="en-US" w:eastAsia="zh-CN"/>
          <w14:ligatures w14:val="none"/>
        </w:rPr>
        <w:t>2.2 Test Candidate Signal</w:t>
      </w:r>
      <w:bookmarkEnd w:id="3"/>
    </w:p>
    <w:p w14:paraId="315D13A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The method to produce the test candidate signal can be described as follows:</w:t>
      </w:r>
    </w:p>
    <w:p w14:paraId="5AC7C21C" w14:textId="77777777" w:rsidR="0066202E" w:rsidRPr="00A46BD2" w:rsidRDefault="00000000">
      <w:pPr>
        <w:numPr>
          <w:ilvl w:val="0"/>
          <w:numId w:val="1"/>
        </w:numPr>
        <w:spacing w:before="120" w:after="120" w:line="288" w:lineRule="auto"/>
        <w:rPr>
          <w:sz w:val="22"/>
          <w:szCs w:val="22"/>
        </w:rPr>
      </w:pPr>
      <w:r w:rsidRPr="00A46BD2">
        <w:rPr>
          <w:rFonts w:ascii="Arial" w:eastAsia="DengXian" w:hAnsi="Arial" w:cs="Arial"/>
          <w:sz w:val="21"/>
          <w:szCs w:val="22"/>
        </w:rPr>
        <w:t>The recording environment is an anechoic chamber that meets clause 4.0.3 of 3GPP TS 26.260 [2]</w:t>
      </w:r>
    </w:p>
    <w:p w14:paraId="3C6EA136" w14:textId="77777777" w:rsidR="0066202E" w:rsidRPr="00A46BD2" w:rsidRDefault="00000000">
      <w:pPr>
        <w:numPr>
          <w:ilvl w:val="0"/>
          <w:numId w:val="2"/>
        </w:numPr>
        <w:spacing w:before="120" w:after="120" w:line="288" w:lineRule="auto"/>
        <w:rPr>
          <w:sz w:val="22"/>
          <w:szCs w:val="22"/>
        </w:rPr>
      </w:pPr>
      <w:r w:rsidRPr="00A46BD2">
        <w:rPr>
          <w:rFonts w:ascii="Arial" w:eastAsia="DengXian" w:hAnsi="Arial" w:cs="Arial"/>
          <w:sz w:val="21"/>
          <w:szCs w:val="22"/>
        </w:rPr>
        <w:t>The recording environment has a loudspeaker array that meets all criteria described in clause 4.1.1.4.1 of 3GPP TS 26.260 [2], with an extra requirement that there should be at least one semiarch loudspeaker array that can be placed horizontally, with its geometric center placed on the reference point of candidate UEs.</w:t>
      </w:r>
    </w:p>
    <w:p w14:paraId="7B2B63D0" w14:textId="77777777" w:rsidR="0066202E" w:rsidRPr="00A46BD2" w:rsidRDefault="00000000">
      <w:pPr>
        <w:numPr>
          <w:ilvl w:val="0"/>
          <w:numId w:val="3"/>
        </w:numPr>
        <w:spacing w:before="120" w:after="120" w:line="288" w:lineRule="auto"/>
        <w:rPr>
          <w:sz w:val="22"/>
          <w:szCs w:val="22"/>
        </w:rPr>
      </w:pPr>
      <w:r w:rsidRPr="00A46BD2">
        <w:rPr>
          <w:rFonts w:ascii="Arial" w:eastAsia="DengXian" w:hAnsi="Arial" w:cs="Arial"/>
          <w:sz w:val="21"/>
          <w:szCs w:val="22"/>
        </w:rPr>
        <w:t>Use VBAP [3] to pan a virtual sound source on the loudspeaker arch, with the following trajectory:</w:t>
      </w:r>
    </w:p>
    <w:p w14:paraId="4AA1228A" w14:textId="77777777" w:rsidR="0066202E" w:rsidRPr="00A46BD2" w:rsidRDefault="00000000">
      <w:pPr>
        <w:numPr>
          <w:ilvl w:val="0"/>
          <w:numId w:val="4"/>
        </w:numPr>
        <w:spacing w:before="120" w:after="120" w:line="288" w:lineRule="auto"/>
        <w:ind w:left="453"/>
        <w:rPr>
          <w:sz w:val="22"/>
          <w:szCs w:val="22"/>
        </w:rPr>
      </w:pPr>
      <w:r w:rsidRPr="00A46BD2">
        <w:rPr>
          <w:rFonts w:ascii="Arial" w:eastAsia="DengXian" w:hAnsi="Arial" w:cs="Arial"/>
          <w:sz w:val="21"/>
          <w:szCs w:val="22"/>
        </w:rPr>
        <w:t>Start from one end of the arch.</w:t>
      </w:r>
    </w:p>
    <w:p w14:paraId="22B6EB44" w14:textId="77777777" w:rsidR="0066202E" w:rsidRPr="00A46BD2" w:rsidRDefault="00000000">
      <w:pPr>
        <w:numPr>
          <w:ilvl w:val="0"/>
          <w:numId w:val="5"/>
        </w:numPr>
        <w:spacing w:before="120" w:after="120" w:line="288" w:lineRule="auto"/>
        <w:ind w:left="453"/>
        <w:rPr>
          <w:sz w:val="22"/>
          <w:szCs w:val="22"/>
        </w:rPr>
      </w:pPr>
      <w:r w:rsidRPr="00A46BD2">
        <w:rPr>
          <w:rFonts w:ascii="Arial" w:eastAsia="DengXian" w:hAnsi="Arial" w:cs="Arial"/>
          <w:sz w:val="21"/>
          <w:szCs w:val="22"/>
        </w:rPr>
        <w:t>On the arch, move towards the other end, with constant angular velocity of 108 degrees per second.</w:t>
      </w:r>
    </w:p>
    <w:p w14:paraId="5E6C4F17" w14:textId="77777777" w:rsidR="0066202E" w:rsidRPr="00A46BD2" w:rsidRDefault="00000000">
      <w:pPr>
        <w:numPr>
          <w:ilvl w:val="0"/>
          <w:numId w:val="6"/>
        </w:numPr>
        <w:spacing w:before="120" w:after="120" w:line="288" w:lineRule="auto"/>
        <w:ind w:left="453"/>
        <w:rPr>
          <w:sz w:val="22"/>
          <w:szCs w:val="22"/>
        </w:rPr>
      </w:pPr>
      <w:r w:rsidRPr="00A46BD2">
        <w:rPr>
          <w:rFonts w:ascii="Arial" w:eastAsia="DengXian" w:hAnsi="Arial" w:cs="Arial"/>
          <w:sz w:val="21"/>
          <w:szCs w:val="22"/>
        </w:rPr>
        <w:t>Keep the same angular speed, move virtual source back to the starting point.</w:t>
      </w:r>
    </w:p>
    <w:p w14:paraId="7C2318D1" w14:textId="77777777" w:rsidR="0066202E" w:rsidRPr="00A46BD2" w:rsidRDefault="00000000">
      <w:pPr>
        <w:numPr>
          <w:ilvl w:val="0"/>
          <w:numId w:val="7"/>
        </w:numPr>
        <w:spacing w:before="120" w:after="120" w:line="288" w:lineRule="auto"/>
        <w:ind w:left="453"/>
        <w:rPr>
          <w:sz w:val="22"/>
          <w:szCs w:val="22"/>
        </w:rPr>
      </w:pPr>
      <w:r w:rsidRPr="00A46BD2">
        <w:rPr>
          <w:rFonts w:ascii="Arial" w:eastAsia="DengXian" w:hAnsi="Arial" w:cs="Arial"/>
          <w:sz w:val="21"/>
          <w:szCs w:val="22"/>
        </w:rPr>
        <w:t>Repeat the above trajectory once.</w:t>
      </w:r>
    </w:p>
    <w:p w14:paraId="697C069B" w14:textId="77777777" w:rsidR="0066202E" w:rsidRPr="00117C7C" w:rsidRDefault="00000000" w:rsidP="00117C7C">
      <w:pPr>
        <w:pStyle w:val="Heading2"/>
        <w:spacing w:line="360" w:lineRule="auto"/>
        <w:rPr>
          <w:rFonts w:cs="Arial"/>
          <w:lang w:val="en-US" w:eastAsia="zh-CN"/>
          <w14:ligatures w14:val="none"/>
        </w:rPr>
      </w:pPr>
      <w:bookmarkStart w:id="4" w:name="heading_4"/>
      <w:r w:rsidRPr="00117C7C">
        <w:rPr>
          <w:rFonts w:cs="Arial"/>
          <w:lang w:val="en-US" w:eastAsia="zh-CN"/>
          <w14:ligatures w14:val="none"/>
        </w:rPr>
        <w:lastRenderedPageBreak/>
        <w:t>2.3 Test method</w:t>
      </w:r>
      <w:bookmarkEnd w:id="4"/>
    </w:p>
    <w:p w14:paraId="56164B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Our test method supports the following target audio formats , including ISM, stereo, MC, SBA, and binaural. MASA is not included since MASA comes from analysis of FOA and HOA signal.</w:t>
      </w:r>
    </w:p>
    <w:p w14:paraId="30646CE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general, we calculate the following time-varying metrics from the test candidate signal and reference. All metrics are measured each 20 ms buffer.</w:t>
      </w:r>
    </w:p>
    <w:p w14:paraId="17B37CB8" w14:textId="77777777" w:rsidR="0066202E" w:rsidRPr="00117C7C" w:rsidRDefault="00000000" w:rsidP="00117C7C">
      <w:pPr>
        <w:pStyle w:val="Heading3"/>
        <w:spacing w:line="360" w:lineRule="auto"/>
        <w:rPr>
          <w:rFonts w:cs="Arial"/>
          <w:lang w:val="en-US" w:eastAsia="zh-CN"/>
          <w14:ligatures w14:val="none"/>
        </w:rPr>
      </w:pPr>
      <w:bookmarkStart w:id="5" w:name="heading_5"/>
      <w:r w:rsidRPr="00117C7C">
        <w:rPr>
          <w:rFonts w:cs="Arial"/>
          <w:lang w:val="en-US" w:eastAsia="zh-CN"/>
          <w14:ligatures w14:val="none"/>
        </w:rPr>
        <w:t>2.3.1 ISM (Object)</w:t>
      </w:r>
      <w:bookmarkEnd w:id="5"/>
    </w:p>
    <w:p w14:paraId="5BC4504C" w14:textId="77777777" w:rsidR="0066202E" w:rsidRPr="00377A86" w:rsidRDefault="00000000" w:rsidP="00377A86">
      <w:pPr>
        <w:pStyle w:val="Heading4"/>
        <w:rPr>
          <w:rFonts w:ascii="Arial" w:hAnsi="Arial" w:cs="Arial"/>
          <w:b/>
          <w:bCs/>
          <w:i w:val="0"/>
          <w:iCs w:val="0"/>
          <w:color w:val="000000" w:themeColor="text1"/>
          <w:sz w:val="22"/>
        </w:rPr>
      </w:pPr>
      <w:bookmarkStart w:id="6" w:name="heading_6"/>
      <w:r w:rsidRPr="00377A86">
        <w:rPr>
          <w:rFonts w:ascii="Arial" w:hAnsi="Arial" w:cs="Arial"/>
          <w:b/>
          <w:bCs/>
          <w:i w:val="0"/>
          <w:iCs w:val="0"/>
          <w:color w:val="000000" w:themeColor="text1"/>
        </w:rPr>
        <w:t>2.3.1.1 Reference Signal</w:t>
      </w:r>
      <w:bookmarkEnd w:id="6"/>
    </w:p>
    <w:p w14:paraId="154948F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 sound object that follows the moving trajectory in 2.2. The source trajectory is simulated by VBAP rendered to a virtual loudspeaker array, same as 2.2. The rendering method is aligned to clause 5.5.2 in 3GPP TS 26.260 [2].</w:t>
      </w:r>
    </w:p>
    <w:p w14:paraId="37808E36" w14:textId="77777777" w:rsidR="0066202E" w:rsidRPr="00377A86" w:rsidRDefault="00000000" w:rsidP="00377A86">
      <w:pPr>
        <w:pStyle w:val="Heading4"/>
        <w:rPr>
          <w:rFonts w:ascii="Arial" w:hAnsi="Arial" w:cs="Arial"/>
          <w:b/>
          <w:bCs/>
          <w:i w:val="0"/>
          <w:iCs w:val="0"/>
          <w:color w:val="000000" w:themeColor="text1"/>
        </w:rPr>
      </w:pPr>
      <w:bookmarkStart w:id="7" w:name="heading_7"/>
      <w:r w:rsidRPr="00377A86">
        <w:rPr>
          <w:rFonts w:ascii="Arial" w:hAnsi="Arial" w:cs="Arial"/>
          <w:b/>
          <w:bCs/>
          <w:i w:val="0"/>
          <w:iCs w:val="0"/>
          <w:color w:val="000000" w:themeColor="text1"/>
        </w:rPr>
        <w:t>2.3.1.2 Candidate Signal</w:t>
      </w:r>
      <w:bookmarkEnd w:id="7"/>
    </w:p>
    <w:p w14:paraId="59DC71B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ISM audio.</w:t>
      </w:r>
    </w:p>
    <w:p w14:paraId="7903CAAD" w14:textId="77777777" w:rsidR="0066202E" w:rsidRPr="00377A86" w:rsidRDefault="00000000" w:rsidP="00377A86">
      <w:pPr>
        <w:pStyle w:val="Heading4"/>
        <w:rPr>
          <w:rFonts w:ascii="Arial" w:hAnsi="Arial" w:cs="Arial"/>
          <w:b/>
          <w:bCs/>
          <w:i w:val="0"/>
          <w:iCs w:val="0"/>
          <w:color w:val="000000" w:themeColor="text1"/>
        </w:rPr>
      </w:pPr>
      <w:bookmarkStart w:id="8" w:name="heading_8"/>
      <w:r w:rsidRPr="00377A86">
        <w:rPr>
          <w:rFonts w:ascii="Arial" w:hAnsi="Arial" w:cs="Arial"/>
          <w:b/>
          <w:bCs/>
          <w:i w:val="0"/>
          <w:iCs w:val="0"/>
          <w:color w:val="000000" w:themeColor="text1"/>
        </w:rPr>
        <w:t>2.3.1.3 Measurement</w:t>
      </w:r>
      <w:bookmarkEnd w:id="8"/>
    </w:p>
    <w:p w14:paraId="2183547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ISM recordings, we measure the time-varying RMS curve for object signal, and the time-varying source direction in terms of azimuth angle. RMS and angle are measured once each audio buffer, which is 20 ms long.</w:t>
      </w:r>
    </w:p>
    <w:p w14:paraId="464B6E28" w14:textId="3EE5216D"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p>
                        <m:sSupPr>
                          <m:ctrlPr>
                            <w:rPr>
                              <w:rFonts w:ascii="Cambria Math" w:hAnsi="Cambria Math"/>
                              <w:sz w:val="22"/>
                              <w:szCs w:val="22"/>
                            </w:rPr>
                          </m:ctrlPr>
                        </m:sSupPr>
                        <m:e>
                          <m:r>
                            <w:rPr>
                              <w:rFonts w:ascii="Cambria Math" w:hAnsi="Cambria Math"/>
                              <w:sz w:val="22"/>
                              <w:szCs w:val="22"/>
                            </w:rPr>
                            <m:t>y</m:t>
                          </m:r>
                        </m:e>
                        <m:sup>
                          <m:r>
                            <w:rPr>
                              <w:rFonts w:ascii="Cambria Math" w:hAnsi="Cambria Math"/>
                              <w:sz w:val="22"/>
                              <w:szCs w:val="22"/>
                            </w:rPr>
                            <m:t>2</m:t>
                          </m:r>
                        </m:sup>
                      </m:s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6CDDF14" w14:textId="77777777" w:rsidR="0066202E" w:rsidRPr="00377A86" w:rsidRDefault="00000000" w:rsidP="00377A86">
      <w:pPr>
        <w:pStyle w:val="Heading4"/>
        <w:rPr>
          <w:rFonts w:ascii="Arial" w:hAnsi="Arial" w:cs="Arial"/>
          <w:b/>
          <w:bCs/>
          <w:i w:val="0"/>
          <w:iCs w:val="0"/>
          <w:color w:val="000000" w:themeColor="text1"/>
        </w:rPr>
      </w:pPr>
      <w:bookmarkStart w:id="9" w:name="heading_9"/>
      <w:r w:rsidRPr="00377A86">
        <w:rPr>
          <w:rFonts w:ascii="Arial" w:hAnsi="Arial" w:cs="Arial"/>
          <w:b/>
          <w:bCs/>
          <w:i w:val="0"/>
          <w:iCs w:val="0"/>
          <w:color w:val="000000" w:themeColor="text1"/>
        </w:rPr>
        <w:t>2.3.1.4 Error Metric</w:t>
      </w:r>
      <w:bookmarkEnd w:id="9"/>
    </w:p>
    <w:p w14:paraId="32F3E75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 time-varying signal RMS of the candidate signal.</w:t>
      </w:r>
    </w:p>
    <w:p w14:paraId="51FEF615" w14:textId="5F73C27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3D3358AC" w14:textId="32198896"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5DD9E8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We also calculate time-varying difference between source angle of reference signal </w:t>
      </w:r>
      <m:oMath>
        <m:r>
          <w:rPr>
            <w:rFonts w:ascii="Cambria Math" w:hAnsi="Cambria Math"/>
            <w:sz w:val="22"/>
            <w:szCs w:val="22"/>
          </w:rPr>
          <m:t>θ</m:t>
        </m:r>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 xml:space="preserve"> and candidate signal </w:t>
      </w:r>
      <m:oMath>
        <m:acc>
          <m:accPr>
            <m:ctrlPr>
              <w:rPr>
                <w:rFonts w:ascii="Cambria Math" w:hAnsi="Cambria Math"/>
                <w:sz w:val="22"/>
                <w:szCs w:val="22"/>
              </w:rPr>
            </m:ctrlPr>
          </m:accPr>
          <m:e>
            <m:r>
              <w:rPr>
                <w:rFonts w:ascii="Cambria Math" w:hAnsi="Cambria Math"/>
                <w:sz w:val="22"/>
                <w:szCs w:val="22"/>
              </w:rPr>
              <m:t>θ</m:t>
            </m:r>
          </m:e>
        </m:acc>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w:t>
      </w:r>
    </w:p>
    <w:p w14:paraId="52180F17" w14:textId="77777777" w:rsidR="0066202E" w:rsidRPr="00A46BD2" w:rsidRDefault="00000000">
      <w:pPr>
        <w:spacing w:before="120" w:after="120" w:line="288" w:lineRule="auto"/>
        <w:jc w:val="center"/>
        <w:rPr>
          <w:sz w:val="22"/>
          <w:szCs w:val="22"/>
        </w:rPr>
      </w:pPr>
      <m:oMathPara>
        <m:oMath>
          <m:r>
            <m:rPr>
              <m:sty m:val="p"/>
            </m:rPr>
            <w:rPr>
              <w:rFonts w:ascii="Cambria Math" w:hAnsi="Cambria Math"/>
              <w:sz w:val="22"/>
              <w:szCs w:val="22"/>
            </w:rPr>
            <m:t xml:space="preserve">\Delta \theta(t) = \Big|\theta(t) - \hat{\theta}(t)\Big| </m:t>
          </m:r>
        </m:oMath>
      </m:oMathPara>
    </w:p>
    <w:p w14:paraId="0007C20C" w14:textId="77777777" w:rsidR="0066202E" w:rsidRPr="00377A86" w:rsidRDefault="00000000" w:rsidP="00377A86">
      <w:pPr>
        <w:pStyle w:val="Heading3"/>
        <w:spacing w:line="360" w:lineRule="auto"/>
        <w:rPr>
          <w:rFonts w:cs="Arial"/>
          <w:lang w:val="en-US" w:eastAsia="zh-CN"/>
          <w14:ligatures w14:val="none"/>
        </w:rPr>
      </w:pPr>
      <w:bookmarkStart w:id="10" w:name="heading_10"/>
      <w:r w:rsidRPr="00377A86">
        <w:rPr>
          <w:rFonts w:cs="Arial"/>
          <w:lang w:val="en-US" w:eastAsia="zh-CN"/>
          <w14:ligatures w14:val="none"/>
        </w:rPr>
        <w:t>2.3.2 SBA (Ambisonics)</w:t>
      </w:r>
      <w:bookmarkEnd w:id="10"/>
    </w:p>
    <w:p w14:paraId="44ABEDEC" w14:textId="77777777" w:rsidR="0066202E" w:rsidRPr="00377A86" w:rsidRDefault="00000000" w:rsidP="00377A86">
      <w:pPr>
        <w:pStyle w:val="Heading4"/>
        <w:rPr>
          <w:rFonts w:ascii="Arial" w:hAnsi="Arial" w:cs="Arial"/>
          <w:b/>
          <w:bCs/>
          <w:i w:val="0"/>
          <w:iCs w:val="0"/>
          <w:color w:val="000000" w:themeColor="text1"/>
        </w:rPr>
      </w:pPr>
      <w:bookmarkStart w:id="11" w:name="heading_11"/>
      <w:r w:rsidRPr="00377A86">
        <w:rPr>
          <w:rFonts w:ascii="Arial" w:hAnsi="Arial" w:cs="Arial"/>
          <w:b/>
          <w:bCs/>
          <w:i w:val="0"/>
          <w:iCs w:val="0"/>
          <w:color w:val="000000" w:themeColor="text1"/>
        </w:rPr>
        <w:t>2.3.2.1 Reference Signal</w:t>
      </w:r>
      <w:bookmarkEnd w:id="11"/>
    </w:p>
    <w:p w14:paraId="12D34CF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reference signal, we rendered the test material defined in 2.1 to ambisonic, with the same order as recorded SBA, and the same trajectory defined in 2.2. The source trajectory is simulated by VBAP rendered to a virtual loudspeaker array, same as 2.2. The rendering method is aligned to clause 5.5.2 in 3GPP TS 26.260 [2].</w:t>
      </w:r>
    </w:p>
    <w:p w14:paraId="4F3CFCEB" w14:textId="77777777" w:rsidR="0066202E" w:rsidRPr="00377A86" w:rsidRDefault="00000000" w:rsidP="00377A86">
      <w:pPr>
        <w:pStyle w:val="Heading4"/>
        <w:rPr>
          <w:rFonts w:ascii="Arial" w:hAnsi="Arial" w:cs="Arial"/>
          <w:b/>
          <w:bCs/>
          <w:i w:val="0"/>
          <w:iCs w:val="0"/>
          <w:color w:val="000000" w:themeColor="text1"/>
        </w:rPr>
      </w:pPr>
      <w:bookmarkStart w:id="12" w:name="heading_12"/>
      <w:r w:rsidRPr="00377A86">
        <w:rPr>
          <w:rFonts w:ascii="Arial" w:hAnsi="Arial" w:cs="Arial"/>
          <w:b/>
          <w:bCs/>
          <w:i w:val="0"/>
          <w:iCs w:val="0"/>
          <w:color w:val="000000" w:themeColor="text1"/>
        </w:rPr>
        <w:lastRenderedPageBreak/>
        <w:t>2.3.2.2 Candidate Signal</w:t>
      </w:r>
      <w:bookmarkEnd w:id="12"/>
    </w:p>
    <w:p w14:paraId="71BFA50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SBA audio.</w:t>
      </w:r>
    </w:p>
    <w:p w14:paraId="6029E4D6" w14:textId="77777777" w:rsidR="0066202E" w:rsidRPr="00377A86" w:rsidRDefault="00000000" w:rsidP="00377A86">
      <w:pPr>
        <w:pStyle w:val="Heading4"/>
        <w:rPr>
          <w:rFonts w:ascii="Arial" w:hAnsi="Arial" w:cs="Arial"/>
          <w:b/>
          <w:bCs/>
          <w:i w:val="0"/>
          <w:iCs w:val="0"/>
          <w:color w:val="000000" w:themeColor="text1"/>
        </w:rPr>
      </w:pPr>
      <w:bookmarkStart w:id="13" w:name="heading_13"/>
      <w:r w:rsidRPr="00377A86">
        <w:rPr>
          <w:rFonts w:ascii="Arial" w:hAnsi="Arial" w:cs="Arial"/>
          <w:b/>
          <w:bCs/>
          <w:i w:val="0"/>
          <w:iCs w:val="0"/>
          <w:color w:val="000000" w:themeColor="text1"/>
        </w:rPr>
        <w:t>2.3.2.3 Measurement</w:t>
      </w:r>
      <w:bookmarkEnd w:id="13"/>
    </w:p>
    <w:p w14:paraId="423CDEE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SBA recordings, we measure the following two metrics</w:t>
      </w:r>
    </w:p>
    <w:p w14:paraId="344012BE" w14:textId="77777777" w:rsidR="0066202E" w:rsidRPr="00A46BD2" w:rsidRDefault="00000000">
      <w:pPr>
        <w:numPr>
          <w:ilvl w:val="0"/>
          <w:numId w:val="8"/>
        </w:numPr>
        <w:spacing w:before="120" w:after="120" w:line="288" w:lineRule="auto"/>
        <w:rPr>
          <w:sz w:val="22"/>
          <w:szCs w:val="22"/>
        </w:rPr>
      </w:pPr>
      <w:r w:rsidRPr="00A46BD2">
        <w:rPr>
          <w:rFonts w:ascii="Arial" w:eastAsia="DengXian" w:hAnsi="Arial" w:cs="Arial"/>
          <w:sz w:val="21"/>
          <w:szCs w:val="22"/>
        </w:rPr>
        <w:t xml:space="preserve">The time varying RMS of W channel </w:t>
      </w:r>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p>
    <w:p w14:paraId="191BE029" w14:textId="7D64C412"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0,0</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0,0</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D735644" w14:textId="77777777" w:rsidR="0066202E" w:rsidRPr="00A46BD2" w:rsidRDefault="00000000">
      <w:pPr>
        <w:numPr>
          <w:ilvl w:val="0"/>
          <w:numId w:val="9"/>
        </w:numPr>
        <w:spacing w:before="120" w:after="120" w:line="288" w:lineRule="auto"/>
        <w:rPr>
          <w:sz w:val="22"/>
          <w:szCs w:val="22"/>
        </w:rPr>
      </w:pPr>
      <w:r w:rsidRPr="00A46BD2">
        <w:rPr>
          <w:rFonts w:ascii="Arial" w:eastAsia="DengXian" w:hAnsi="Arial" w:cs="Arial"/>
          <w:sz w:val="21"/>
          <w:szCs w:val="22"/>
        </w:rPr>
        <w:t>The sound field directivity depicted by time-varying normalized spherical harmonics coefficients</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defined by following processes</w:t>
      </w:r>
    </w:p>
    <w:p w14:paraId="2CC15296" w14:textId="47FF62BA"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oMath>
      </m:oMathPara>
    </w:p>
    <w:p w14:paraId="0F89FCD7" w14:textId="77777777" w:rsidR="0066202E" w:rsidRPr="00A46BD2" w:rsidRDefault="0066202E">
      <w:pPr>
        <w:spacing w:before="120" w:after="120" w:line="288" w:lineRule="auto"/>
        <w:jc w:val="center"/>
        <w:rPr>
          <w:sz w:val="22"/>
          <w:szCs w:val="22"/>
        </w:rPr>
      </w:pPr>
    </w:p>
    <w:p w14:paraId="3BB58E5C" w14:textId="77777777"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num>
            <m:den>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r>
            <w:rPr>
              <w:rFonts w:ascii="Cambria Math" w:hAnsi="Cambria Math"/>
              <w:sz w:val="22"/>
              <w:szCs w:val="22"/>
            </w:rPr>
            <m:t>,ϵ=</m:t>
          </m:r>
          <m:sSup>
            <m:sSupPr>
              <m:ctrlPr>
                <w:rPr>
                  <w:rFonts w:ascii="Cambria Math" w:hAnsi="Cambria Math"/>
                  <w:sz w:val="22"/>
                  <w:szCs w:val="22"/>
                </w:rPr>
              </m:ctrlPr>
            </m:sSupPr>
            <m:e>
              <m:r>
                <w:rPr>
                  <w:rFonts w:ascii="Cambria Math" w:hAnsi="Cambria Math"/>
                  <w:sz w:val="22"/>
                  <w:szCs w:val="22"/>
                </w:rPr>
                <m:t>10</m:t>
              </m:r>
            </m:e>
            <m:sup>
              <m:r>
                <w:rPr>
                  <w:rFonts w:ascii="Cambria Math" w:hAnsi="Cambria Math"/>
                  <w:sz w:val="22"/>
                  <w:szCs w:val="22"/>
                </w:rPr>
                <m:t>-20</m:t>
              </m:r>
            </m:sup>
          </m:sSup>
        </m:oMath>
      </m:oMathPara>
    </w:p>
    <w:p w14:paraId="3F23397C" w14:textId="77777777" w:rsidR="0066202E" w:rsidRPr="00377A86" w:rsidRDefault="00000000" w:rsidP="00377A86">
      <w:pPr>
        <w:pStyle w:val="Heading4"/>
        <w:rPr>
          <w:rFonts w:ascii="Arial" w:hAnsi="Arial" w:cs="Arial"/>
          <w:b/>
          <w:bCs/>
          <w:i w:val="0"/>
          <w:iCs w:val="0"/>
          <w:color w:val="000000" w:themeColor="text1"/>
        </w:rPr>
      </w:pPr>
      <w:bookmarkStart w:id="14" w:name="heading_14"/>
      <w:r w:rsidRPr="00377A86">
        <w:rPr>
          <w:rFonts w:ascii="Arial" w:hAnsi="Arial" w:cs="Arial"/>
          <w:b/>
          <w:bCs/>
          <w:i w:val="0"/>
          <w:iCs w:val="0"/>
          <w:color w:val="000000" w:themeColor="text1"/>
        </w:rPr>
        <w:t>2.3.2.4 Error Metric</w:t>
      </w:r>
      <w:bookmarkEnd w:id="14"/>
    </w:p>
    <w:p w14:paraId="456130A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the candidate signal.</w:t>
      </w:r>
    </w:p>
    <w:p w14:paraId="3C933727" w14:textId="3965EB2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76B7A284" w14:textId="159A2FFF"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i/>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DE28980" w14:textId="77777777" w:rsidR="0066202E" w:rsidRDefault="00000000">
      <w:pPr>
        <w:spacing w:before="120" w:after="120" w:line="288" w:lineRule="auto"/>
        <w:rPr>
          <w:rFonts w:ascii="Arial" w:eastAsia="DengXian" w:hAnsi="Arial" w:cs="Arial"/>
          <w:sz w:val="21"/>
          <w:szCs w:val="22"/>
        </w:rPr>
      </w:pPr>
      <w:r w:rsidRPr="00A46BD2">
        <w:rPr>
          <w:rFonts w:ascii="Arial" w:eastAsia="DengXian" w:hAnsi="Arial" w:cs="Arial"/>
          <w:sz w:val="21"/>
          <w:szCs w:val="22"/>
        </w:rPr>
        <w:t>We calculate the normalized spherical harmonics coefficients error by computing the 1 minus absolute value of Pearson correlation between</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reference and candidate signal.</w:t>
      </w:r>
    </w:p>
    <w:p w14:paraId="3C7CCE21" w14:textId="499904D5" w:rsidR="00D6614D" w:rsidRPr="00D6614D" w:rsidRDefault="00D6614D" w:rsidP="00D6614D">
      <w:pPr>
        <w:pStyle w:val="Paragraph1to99"/>
        <w:numPr>
          <w:ilvl w:val="0"/>
          <w:numId w:val="0"/>
        </w:numPr>
        <w:rPr>
          <w:sz w:val="21"/>
          <w:szCs w:val="21"/>
        </w:rPr>
      </w:pPr>
      <m:oMathPara>
        <m:oMath>
          <m:r>
            <w:rPr>
              <w:rFonts w:ascii="Cambria Math" w:hAnsi="Cambria Math"/>
              <w:sz w:val="21"/>
              <w:szCs w:val="21"/>
            </w:rPr>
            <m:t>Δ</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=1- </m:t>
          </m:r>
          <m:d>
            <m:dPr>
              <m:begChr m:val="|"/>
              <m:endChr m:val="|"/>
              <m:ctrlPr>
                <w:rPr>
                  <w:rFonts w:ascii="Cambria Math" w:hAnsi="Cambria Math"/>
                  <w:i/>
                  <w:sz w:val="21"/>
                  <w:szCs w:val="21"/>
                </w:rPr>
              </m:ctrlPr>
            </m:dPr>
            <m:e>
              <m:r>
                <w:rPr>
                  <w:rFonts w:ascii="Cambria Math" w:hAnsi="Cambria Math"/>
                  <w:sz w:val="21"/>
                  <w:szCs w:val="21"/>
                </w:rPr>
                <m:t>r</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i/>
                      <w:sz w:val="21"/>
                      <w:szCs w:val="21"/>
                    </w:rPr>
                  </m:ctrlPr>
                </m:dPr>
                <m:e>
                  <m:r>
                    <w:rPr>
                      <w:rFonts w:ascii="Cambria Math" w:hAnsi="Cambria Math"/>
                      <w:sz w:val="21"/>
                      <w:szCs w:val="21"/>
                    </w:rPr>
                    <m:t>k</m:t>
                  </m:r>
                </m:e>
              </m:d>
            </m:e>
          </m:d>
          <m:r>
            <w:rPr>
              <w:rFonts w:ascii="Cambria Math" w:hAnsi="Cambria Math"/>
              <w:sz w:val="21"/>
              <w:szCs w:val="21"/>
            </w:rPr>
            <m:t xml:space="preserve">=1- </m:t>
          </m:r>
          <m:d>
            <m:dPr>
              <m:begChr m:val="|"/>
              <m:endChr m:val="|"/>
              <m:ctrlPr>
                <w:rPr>
                  <w:rFonts w:ascii="Cambria Math" w:hAnsi="Cambria Math"/>
                  <w:i/>
                  <w:sz w:val="21"/>
                  <w:szCs w:val="21"/>
                </w:rPr>
              </m:ctrlPr>
            </m:dPr>
            <m:e>
              <m:f>
                <m:fPr>
                  <m:ctrlPr>
                    <w:rPr>
                      <w:rFonts w:ascii="Cambria Math" w:hAnsi="Cambria Math"/>
                      <w:i/>
                      <w:sz w:val="21"/>
                      <w:szCs w:val="21"/>
                    </w:rPr>
                  </m:ctrlPr>
                </m:fPr>
                <m:num>
                  <m:r>
                    <w:rPr>
                      <w:rFonts w:ascii="Cambria Math" w:hAnsi="Cambria Math"/>
                      <w:sz w:val="21"/>
                      <w:szCs w:val="21"/>
                    </w:rPr>
                    <m:t>cov(</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m:t>
                  </m:r>
                </m:num>
                <m:den>
                  <m:r>
                    <w:rPr>
                      <w:rFonts w:ascii="Cambria Math" w:hAnsi="Cambria Math"/>
                      <w:sz w:val="21"/>
                      <w:szCs w:val="21"/>
                    </w:rPr>
                    <m:t>σ</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sSub>
                    <m:sSubPr>
                      <m:ctrlPr>
                        <w:rPr>
                          <w:rFonts w:ascii="Cambria Math" w:hAnsi="Cambria Math"/>
                          <w:sz w:val="21"/>
                          <w:szCs w:val="21"/>
                        </w:rPr>
                      </m:ctrlPr>
                    </m:sSubPr>
                    <m:e>
                      <m:r>
                        <w:rPr>
                          <w:rFonts w:ascii="Cambria Math" w:hAnsi="Cambria Math"/>
                          <w:sz w:val="21"/>
                          <w:szCs w:val="21"/>
                        </w:rPr>
                        <m:t>σN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den>
              </m:f>
            </m:e>
          </m:d>
        </m:oMath>
      </m:oMathPara>
    </w:p>
    <w:p w14:paraId="09D75055" w14:textId="77777777" w:rsidR="0066202E" w:rsidRPr="00DF71B2" w:rsidRDefault="00000000" w:rsidP="00DF71B2">
      <w:pPr>
        <w:pStyle w:val="Heading4"/>
        <w:rPr>
          <w:rFonts w:ascii="Arial" w:hAnsi="Arial" w:cs="Arial"/>
          <w:b/>
          <w:bCs/>
          <w:i w:val="0"/>
          <w:iCs w:val="0"/>
          <w:color w:val="000000" w:themeColor="text1"/>
        </w:rPr>
      </w:pPr>
      <w:bookmarkStart w:id="15" w:name="heading_15"/>
      <w:r w:rsidRPr="00DF71B2">
        <w:rPr>
          <w:rFonts w:ascii="Arial" w:hAnsi="Arial" w:cs="Arial"/>
          <w:b/>
          <w:bCs/>
          <w:i w:val="0"/>
          <w:iCs w:val="0"/>
          <w:color w:val="000000" w:themeColor="text1"/>
        </w:rPr>
        <w:t>2.3.2.5 Test Result</w:t>
      </w:r>
      <w:bookmarkEnd w:id="15"/>
    </w:p>
    <w:p w14:paraId="2431739E"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plots:</w:t>
      </w:r>
    </w:p>
    <w:tbl>
      <w:tblPr>
        <w:tblW w:w="0" w:type="auto"/>
        <w:tblBorders>
          <w:top w:val="none" w:sz="0" w:space="4" w:color="auto"/>
          <w:left w:val="none" w:sz="0" w:space="4" w:color="auto"/>
          <w:bottom w:val="none" w:sz="0" w:space="4" w:color="auto"/>
          <w:right w:val="none" w:sz="0" w:space="4" w:color="auto"/>
          <w:insideH w:val="none" w:sz="0" w:space="4" w:color="auto"/>
          <w:insideV w:val="none" w:sz="0" w:space="4" w:color="auto"/>
        </w:tblBorders>
        <w:tblLayout w:type="fixed"/>
        <w:tblCellMar>
          <w:left w:w="10" w:type="dxa"/>
          <w:right w:w="10" w:type="dxa"/>
        </w:tblCellMar>
        <w:tblLook w:val="0000" w:firstRow="0" w:lastRow="0" w:firstColumn="0" w:lastColumn="0" w:noHBand="0" w:noVBand="0"/>
      </w:tblPr>
      <w:tblGrid>
        <w:gridCol w:w="4140"/>
        <w:gridCol w:w="4140"/>
      </w:tblGrid>
      <w:tr w:rsidR="0066202E" w:rsidRPr="00A46BD2" w14:paraId="15BF92E9" w14:textId="77777777">
        <w:tblPrEx>
          <w:tblCellMar>
            <w:top w:w="0" w:type="dxa"/>
            <w:bottom w:w="0" w:type="dxa"/>
          </w:tblCellMar>
        </w:tblPrEx>
        <w:tc>
          <w:tcPr>
            <w:tcW w:w="4140" w:type="dxa"/>
            <w:tcMar>
              <w:top w:w="60" w:type="dxa"/>
              <w:left w:w="120" w:type="dxa"/>
              <w:bottom w:w="30" w:type="dxa"/>
              <w:right w:w="120" w:type="dxa"/>
            </w:tcMar>
          </w:tcPr>
          <w:p w14:paraId="182D4AB8" w14:textId="77777777" w:rsidR="0066202E" w:rsidRPr="00A46BD2" w:rsidRDefault="00000000">
            <w:pPr>
              <w:spacing w:before="120" w:after="120" w:line="288" w:lineRule="auto"/>
              <w:jc w:val="center"/>
              <w:rPr>
                <w:sz w:val="22"/>
                <w:szCs w:val="22"/>
              </w:rPr>
            </w:pPr>
            <w:r w:rsidRPr="00A46BD2">
              <w:rPr>
                <w:noProof/>
                <w:sz w:val="22"/>
                <w:szCs w:val="22"/>
              </w:rPr>
              <w:lastRenderedPageBreak/>
              <w:drawing>
                <wp:inline distT="0" distB="0" distL="0" distR="0" wp14:anchorId="672D6614" wp14:editId="53B1FE3F">
                  <wp:extent cx="2476500" cy="2476500"/>
                  <wp:effectExtent l="0" t="0" r="0" b="0"/>
                  <wp:docPr id="1753361602" name="Drawing 0"/>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pic:cNvPicPr>
                        </pic:nvPicPr>
                        <pic:blipFill>
                          <a:blip r:embed="rId7"/>
                          <a:stretch>
                            <a:fillRect/>
                          </a:stretch>
                        </pic:blipFill>
                        <pic:spPr>
                          <a:xfrm>
                            <a:off x="0" y="0"/>
                            <a:ext cx="2476500" cy="2476500"/>
                          </a:xfrm>
                          <a:prstGeom prst="rect">
                            <a:avLst/>
                          </a:prstGeom>
                        </pic:spPr>
                      </pic:pic>
                    </a:graphicData>
                  </a:graphic>
                </wp:inline>
              </w:drawing>
            </w:r>
          </w:p>
        </w:tc>
        <w:tc>
          <w:tcPr>
            <w:tcW w:w="4140" w:type="dxa"/>
            <w:tcMar>
              <w:top w:w="60" w:type="dxa"/>
              <w:left w:w="120" w:type="dxa"/>
              <w:bottom w:w="30" w:type="dxa"/>
              <w:right w:w="120" w:type="dxa"/>
            </w:tcMar>
          </w:tcPr>
          <w:p w14:paraId="1C9831EA"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6E73A481" wp14:editId="657ADF19">
                  <wp:extent cx="2476500" cy="2476500"/>
                  <wp:effectExtent l="0" t="0" r="0" b="0"/>
                  <wp:docPr id="1" name="Drawing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8"/>
                          <a:stretch>
                            <a:fillRect/>
                          </a:stretch>
                        </pic:blipFill>
                        <pic:spPr>
                          <a:xfrm>
                            <a:off x="0" y="0"/>
                            <a:ext cx="2476500" cy="2476500"/>
                          </a:xfrm>
                          <a:prstGeom prst="rect">
                            <a:avLst/>
                          </a:prstGeom>
                        </pic:spPr>
                      </pic:pic>
                    </a:graphicData>
                  </a:graphic>
                </wp:inline>
              </w:drawing>
            </w:r>
          </w:p>
        </w:tc>
      </w:tr>
    </w:tbl>
    <w:p w14:paraId="345D0DE8" w14:textId="1EDC9F52"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1</w:t>
      </w:r>
      <w:r w:rsidRPr="00A46BD2">
        <w:rPr>
          <w:rFonts w:ascii="Arial" w:eastAsia="DengXian" w:hAnsi="Arial" w:cs="Arial"/>
          <w:b/>
          <w:sz w:val="21"/>
          <w:szCs w:val="22"/>
        </w:rPr>
        <w:t xml:space="preserve">: </w:t>
      </w:r>
      <w:r>
        <w:rPr>
          <w:rFonts w:ascii="Arial" w:eastAsia="DengXian" w:hAnsi="Arial" w:cs="Arial"/>
          <w:b/>
          <w:sz w:val="21"/>
          <w:szCs w:val="22"/>
          <w:lang w:val="en-US"/>
        </w:rPr>
        <w:t>SBA Test Result with Simulation Data</w:t>
      </w:r>
    </w:p>
    <w:p w14:paraId="7173B142" w14:textId="6C487FD5" w:rsidR="0066202E" w:rsidRPr="00A46BD2" w:rsidRDefault="00000000">
      <w:pPr>
        <w:spacing w:before="120" w:after="120" w:line="288" w:lineRule="auto"/>
        <w:rPr>
          <w:sz w:val="22"/>
          <w:szCs w:val="22"/>
        </w:rPr>
      </w:pPr>
      <w:r w:rsidRPr="00A46BD2">
        <w:rPr>
          <w:rFonts w:ascii="Arial" w:eastAsia="DengXian" w:hAnsi="Arial" w:cs="Arial"/>
          <w:sz w:val="21"/>
          <w:szCs w:val="22"/>
        </w:rPr>
        <w:t>To further verify the effectiveness of our test method, we also tested a legacy in-house spatial audio recording solution, and got the following results:</w:t>
      </w:r>
    </w:p>
    <w:tbl>
      <w:tblPr>
        <w:tblW w:w="0" w:type="auto"/>
        <w:tblBorders>
          <w:top w:val="none" w:sz="0" w:space="4" w:color="auto"/>
          <w:left w:val="none" w:sz="0" w:space="4" w:color="auto"/>
          <w:bottom w:val="none" w:sz="0" w:space="4" w:color="auto"/>
          <w:right w:val="none" w:sz="0" w:space="4" w:color="auto"/>
          <w:insideH w:val="none" w:sz="0" w:space="4" w:color="auto"/>
          <w:insideV w:val="none" w:sz="0" w:space="4" w:color="auto"/>
        </w:tblBorders>
        <w:tblLayout w:type="fixed"/>
        <w:tblCellMar>
          <w:left w:w="10" w:type="dxa"/>
          <w:right w:w="10" w:type="dxa"/>
        </w:tblCellMar>
        <w:tblLook w:val="0000" w:firstRow="0" w:lastRow="0" w:firstColumn="0" w:lastColumn="0" w:noHBand="0" w:noVBand="0"/>
      </w:tblPr>
      <w:tblGrid>
        <w:gridCol w:w="4140"/>
        <w:gridCol w:w="4140"/>
      </w:tblGrid>
      <w:tr w:rsidR="0066202E" w:rsidRPr="00A46BD2" w14:paraId="00B2F506" w14:textId="77777777">
        <w:tblPrEx>
          <w:tblCellMar>
            <w:top w:w="0" w:type="dxa"/>
            <w:bottom w:w="0" w:type="dxa"/>
          </w:tblCellMar>
        </w:tblPrEx>
        <w:tc>
          <w:tcPr>
            <w:tcW w:w="4140" w:type="dxa"/>
            <w:tcMar>
              <w:top w:w="60" w:type="dxa"/>
              <w:left w:w="120" w:type="dxa"/>
              <w:bottom w:w="30" w:type="dxa"/>
              <w:right w:w="120" w:type="dxa"/>
            </w:tcMar>
          </w:tcPr>
          <w:p w14:paraId="7E642F27"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35CDB40D" wp14:editId="2F8114C4">
                  <wp:extent cx="2476500" cy="2476500"/>
                  <wp:effectExtent l="0" t="0" r="0" b="0"/>
                  <wp:docPr id="2" name="Drawing 2"/>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9"/>
                          <a:stretch>
                            <a:fillRect/>
                          </a:stretch>
                        </pic:blipFill>
                        <pic:spPr>
                          <a:xfrm>
                            <a:off x="0" y="0"/>
                            <a:ext cx="2476500" cy="2476500"/>
                          </a:xfrm>
                          <a:prstGeom prst="rect">
                            <a:avLst/>
                          </a:prstGeom>
                        </pic:spPr>
                      </pic:pic>
                    </a:graphicData>
                  </a:graphic>
                </wp:inline>
              </w:drawing>
            </w:r>
          </w:p>
        </w:tc>
        <w:tc>
          <w:tcPr>
            <w:tcW w:w="4140" w:type="dxa"/>
            <w:tcMar>
              <w:top w:w="60" w:type="dxa"/>
              <w:left w:w="120" w:type="dxa"/>
              <w:bottom w:w="30" w:type="dxa"/>
              <w:right w:w="120" w:type="dxa"/>
            </w:tcMar>
          </w:tcPr>
          <w:p w14:paraId="6471E6DF"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060665F8" wp14:editId="3E828880">
                  <wp:extent cx="2476500" cy="2476500"/>
                  <wp:effectExtent l="0" t="0" r="0" b="0"/>
                  <wp:docPr id="3" name="Drawing 3"/>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10"/>
                          <a:stretch>
                            <a:fillRect/>
                          </a:stretch>
                        </pic:blipFill>
                        <pic:spPr>
                          <a:xfrm>
                            <a:off x="0" y="0"/>
                            <a:ext cx="2476500" cy="2476500"/>
                          </a:xfrm>
                          <a:prstGeom prst="rect">
                            <a:avLst/>
                          </a:prstGeom>
                        </pic:spPr>
                      </pic:pic>
                    </a:graphicData>
                  </a:graphic>
                </wp:inline>
              </w:drawing>
            </w:r>
          </w:p>
        </w:tc>
      </w:tr>
    </w:tbl>
    <w:p w14:paraId="04D430CD" w14:textId="641FDB37" w:rsidR="008A0AE4" w:rsidRPr="008A0AE4" w:rsidRDefault="008A0AE4" w:rsidP="008A0AE4">
      <w:pPr>
        <w:spacing w:before="120" w:after="120" w:line="288" w:lineRule="auto"/>
        <w:jc w:val="center"/>
        <w:rPr>
          <w:sz w:val="22"/>
          <w:szCs w:val="22"/>
          <w:lang w:val="en-US"/>
        </w:rPr>
      </w:pPr>
      <w:bookmarkStart w:id="16" w:name="heading_16"/>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2</w:t>
      </w:r>
      <w:r w:rsidRPr="00A46BD2">
        <w:rPr>
          <w:rFonts w:ascii="Arial" w:eastAsia="DengXian" w:hAnsi="Arial" w:cs="Arial"/>
          <w:b/>
          <w:sz w:val="21"/>
          <w:szCs w:val="22"/>
        </w:rPr>
        <w:t xml:space="preserve">: </w:t>
      </w:r>
      <w:r>
        <w:rPr>
          <w:rFonts w:ascii="Arial" w:eastAsia="DengXian" w:hAnsi="Arial" w:cs="Arial"/>
          <w:b/>
          <w:sz w:val="21"/>
          <w:szCs w:val="22"/>
          <w:lang w:val="en-US"/>
        </w:rPr>
        <w:t xml:space="preserve">SBA Test Result with </w:t>
      </w:r>
      <w:r>
        <w:rPr>
          <w:rFonts w:ascii="Arial" w:eastAsia="DengXian" w:hAnsi="Arial" w:cs="Arial"/>
          <w:b/>
          <w:sz w:val="21"/>
          <w:szCs w:val="22"/>
          <w:lang w:val="en-US"/>
        </w:rPr>
        <w:t>Recorded</w:t>
      </w:r>
      <w:r>
        <w:rPr>
          <w:rFonts w:ascii="Arial" w:eastAsia="DengXian" w:hAnsi="Arial" w:cs="Arial"/>
          <w:b/>
          <w:sz w:val="21"/>
          <w:szCs w:val="22"/>
          <w:lang w:val="en-US"/>
        </w:rPr>
        <w:t xml:space="preserve"> Data</w:t>
      </w:r>
    </w:p>
    <w:p w14:paraId="6C6E8BE4" w14:textId="5CBAC995" w:rsidR="0066202E" w:rsidRPr="00377A86" w:rsidRDefault="00000000" w:rsidP="00377A86">
      <w:pPr>
        <w:pStyle w:val="Heading3"/>
        <w:spacing w:line="360" w:lineRule="auto"/>
        <w:rPr>
          <w:rFonts w:cs="Arial"/>
          <w:lang w:val="en-US" w:eastAsia="zh-CN"/>
          <w14:ligatures w14:val="none"/>
        </w:rPr>
      </w:pPr>
      <w:r w:rsidRPr="00377A86">
        <w:rPr>
          <w:rFonts w:cs="Arial"/>
          <w:lang w:val="en-US" w:eastAsia="zh-CN"/>
          <w14:ligatures w14:val="none"/>
        </w:rPr>
        <w:t>2.3.3 Binaural</w:t>
      </w:r>
      <w:bookmarkEnd w:id="16"/>
    </w:p>
    <w:p w14:paraId="67F9AA2E" w14:textId="77777777" w:rsidR="0066202E" w:rsidRPr="00DF71B2" w:rsidRDefault="00000000" w:rsidP="00DF71B2">
      <w:pPr>
        <w:pStyle w:val="Heading4"/>
        <w:rPr>
          <w:rFonts w:ascii="Arial" w:hAnsi="Arial" w:cs="Arial"/>
          <w:b/>
          <w:bCs/>
          <w:i w:val="0"/>
          <w:iCs w:val="0"/>
          <w:color w:val="000000" w:themeColor="text1"/>
        </w:rPr>
      </w:pPr>
      <w:bookmarkStart w:id="17" w:name="heading_17"/>
      <w:r w:rsidRPr="00DF71B2">
        <w:rPr>
          <w:rFonts w:ascii="Arial" w:hAnsi="Arial" w:cs="Arial"/>
          <w:b/>
          <w:bCs/>
          <w:i w:val="0"/>
          <w:iCs w:val="0"/>
          <w:color w:val="000000" w:themeColor="text1"/>
        </w:rPr>
        <w:t>2.3.3.1 Reference Signal</w:t>
      </w:r>
      <w:bookmarkEnd w:id="17"/>
    </w:p>
    <w:p w14:paraId="700291C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reference signal </w:t>
      </w:r>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l,r</m:t>
            </m:r>
          </m:sub>
        </m:sSub>
      </m:oMath>
      <w:r w:rsidRPr="00A46BD2">
        <w:rPr>
          <w:rFonts w:ascii="Arial" w:eastAsia="DengXian" w:hAnsi="Arial" w:cs="Arial"/>
          <w:sz w:val="21"/>
          <w:szCs w:val="22"/>
        </w:rPr>
        <w:t>is recorded by HATS with the loudspeaker array defined in 2.2.</w:t>
      </w:r>
    </w:p>
    <w:p w14:paraId="2D9F9527" w14:textId="77777777" w:rsidR="0066202E" w:rsidRPr="00DF71B2" w:rsidRDefault="00000000" w:rsidP="00DF71B2">
      <w:pPr>
        <w:pStyle w:val="Heading4"/>
        <w:rPr>
          <w:rFonts w:ascii="Arial" w:hAnsi="Arial" w:cs="Arial"/>
          <w:b/>
          <w:bCs/>
          <w:i w:val="0"/>
          <w:iCs w:val="0"/>
          <w:color w:val="000000" w:themeColor="text1"/>
        </w:rPr>
      </w:pPr>
      <w:bookmarkStart w:id="18" w:name="heading_18"/>
      <w:r w:rsidRPr="00DF71B2">
        <w:rPr>
          <w:rFonts w:ascii="Arial" w:hAnsi="Arial" w:cs="Arial"/>
          <w:b/>
          <w:bCs/>
          <w:i w:val="0"/>
          <w:iCs w:val="0"/>
          <w:color w:val="000000" w:themeColor="text1"/>
        </w:rPr>
        <w:t>2.3.3.2 Candidate Signal</w:t>
      </w:r>
      <w:bookmarkEnd w:id="18"/>
    </w:p>
    <w:p w14:paraId="5E29B76F" w14:textId="77777777" w:rsidR="0066202E" w:rsidRPr="00A46BD2" w:rsidRDefault="00000000">
      <w:pPr>
        <w:numPr>
          <w:ilvl w:val="0"/>
          <w:numId w:val="10"/>
        </w:numPr>
        <w:spacing w:before="120" w:after="120" w:line="288" w:lineRule="auto"/>
        <w:rPr>
          <w:sz w:val="22"/>
          <w:szCs w:val="22"/>
        </w:rPr>
      </w:pPr>
      <w:r w:rsidRPr="00A46BD2">
        <w:rPr>
          <w:rFonts w:ascii="Arial" w:eastAsia="DengXian" w:hAnsi="Arial" w:cs="Arial"/>
          <w:sz w:val="21"/>
          <w:szCs w:val="22"/>
        </w:rPr>
        <w:t>Headset put on HATS</w:t>
      </w:r>
    </w:p>
    <w:p w14:paraId="016EF4FF" w14:textId="77777777" w:rsidR="0066202E" w:rsidRPr="00A46BD2" w:rsidRDefault="00000000">
      <w:pPr>
        <w:numPr>
          <w:ilvl w:val="0"/>
          <w:numId w:val="11"/>
        </w:numPr>
        <w:spacing w:before="120" w:after="120" w:line="288" w:lineRule="auto"/>
        <w:rPr>
          <w:sz w:val="22"/>
          <w:szCs w:val="22"/>
        </w:rPr>
      </w:pPr>
      <w:r w:rsidRPr="00A46BD2">
        <w:rPr>
          <w:rFonts w:ascii="Arial" w:eastAsia="DengXian" w:hAnsi="Arial" w:cs="Arial"/>
          <w:sz w:val="21"/>
          <w:szCs w:val="22"/>
        </w:rPr>
        <w:t>The DUT shall be configured such that the set of HRTFs used for binaural rendering correspond to the HATS used for testing</w:t>
      </w:r>
    </w:p>
    <w:p w14:paraId="18B97BAF" w14:textId="77777777" w:rsidR="0066202E" w:rsidRPr="00A46BD2" w:rsidRDefault="00000000">
      <w:pPr>
        <w:numPr>
          <w:ilvl w:val="0"/>
          <w:numId w:val="12"/>
        </w:numPr>
        <w:spacing w:before="120" w:after="120" w:line="288" w:lineRule="auto"/>
        <w:rPr>
          <w:sz w:val="22"/>
          <w:szCs w:val="22"/>
        </w:rPr>
      </w:pPr>
      <w:r w:rsidRPr="00A46BD2">
        <w:rPr>
          <w:rFonts w:ascii="Arial" w:eastAsia="DengXian" w:hAnsi="Arial" w:cs="Arial"/>
          <w:sz w:val="21"/>
          <w:szCs w:val="22"/>
        </w:rPr>
        <w:lastRenderedPageBreak/>
        <w:t xml:space="preserve">The binaural signals recorded by UE are played over the headset and recorded by HATS as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l,r</m:t>
            </m:r>
          </m:sub>
        </m:sSub>
      </m:oMath>
      <w:r w:rsidRPr="00A46BD2">
        <w:rPr>
          <w:rFonts w:ascii="Arial" w:eastAsia="DengXian" w:hAnsi="Arial" w:cs="Arial"/>
          <w:sz w:val="21"/>
          <w:szCs w:val="22"/>
        </w:rPr>
        <w:t>.</w:t>
      </w:r>
    </w:p>
    <w:p w14:paraId="1ECAA006" w14:textId="77777777" w:rsidR="0066202E" w:rsidRPr="00DF71B2" w:rsidRDefault="00000000" w:rsidP="00DF71B2">
      <w:pPr>
        <w:pStyle w:val="Heading4"/>
        <w:rPr>
          <w:rFonts w:ascii="Arial" w:hAnsi="Arial" w:cs="Arial"/>
          <w:b/>
          <w:bCs/>
          <w:i w:val="0"/>
          <w:iCs w:val="0"/>
          <w:color w:val="000000" w:themeColor="text1"/>
        </w:rPr>
      </w:pPr>
      <w:bookmarkStart w:id="19" w:name="heading_19"/>
      <w:r w:rsidRPr="00DF71B2">
        <w:rPr>
          <w:rFonts w:ascii="Arial" w:hAnsi="Arial" w:cs="Arial"/>
          <w:b/>
          <w:bCs/>
          <w:i w:val="0"/>
          <w:iCs w:val="0"/>
          <w:color w:val="000000" w:themeColor="text1"/>
        </w:rPr>
        <w:t>2.3.3.3 Measurement</w:t>
      </w:r>
      <w:bookmarkEnd w:id="19"/>
    </w:p>
    <w:p w14:paraId="5E69D50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calculate the time varying ICLD difference between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p</m:t>
                </m:r>
              </m:e>
            </m:acc>
          </m:e>
          <m:sub>
            <m:r>
              <w:rPr>
                <w:rFonts w:ascii="Cambria Math" w:hAnsi="Cambria Math"/>
                <w:sz w:val="22"/>
                <w:szCs w:val="22"/>
              </w:rPr>
              <m:t>l,r</m:t>
            </m:r>
          </m:sub>
        </m:sSub>
      </m:oMath>
      <w:r w:rsidRPr="00A46BD2">
        <w:rPr>
          <w:rFonts w:ascii="Arial" w:eastAsia="DengXian" w:hAnsi="Arial" w:cs="Arial"/>
          <w:sz w:val="21"/>
          <w:szCs w:val="22"/>
        </w:rPr>
        <w:t xml:space="preserve">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l,r</m:t>
            </m:r>
          </m:sub>
        </m:sSub>
      </m:oMath>
    </w:p>
    <w:p w14:paraId="1D1ED470" w14:textId="47554140"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42C888DB" w14:textId="407E81D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r</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22370DEE" w14:textId="77777777" w:rsidR="0066202E" w:rsidRPr="00A46BD2" w:rsidRDefault="00000000">
      <w:pPr>
        <w:spacing w:before="120" w:after="120" w:line="288" w:lineRule="auto"/>
        <w:jc w:val="center"/>
        <w:rPr>
          <w:sz w:val="22"/>
          <w:szCs w:val="22"/>
        </w:rPr>
      </w:pPr>
      <m:oMathPara>
        <m:oMath>
          <m:r>
            <w:rPr>
              <w:rFonts w:ascii="Cambria Math" w:hAnsi="Cambria Math"/>
              <w:sz w:val="22"/>
              <w:szCs w:val="22"/>
            </w:rPr>
            <m:t>ICLD</m:t>
          </m:r>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=20</m:t>
          </m:r>
          <m:r>
            <m:rPr>
              <m:sty m:val="p"/>
            </m:rPr>
            <w:rPr>
              <w:rFonts w:ascii="Cambria Math" w:hAnsi="Cambria Math"/>
              <w:sz w:val="22"/>
              <w:szCs w:val="22"/>
            </w:rPr>
            <m:t>log</m:t>
          </m:r>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num>
                <m:den>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e>
          </m:d>
        </m:oMath>
      </m:oMathPara>
    </w:p>
    <w:p w14:paraId="351E2B2B" w14:textId="77777777" w:rsidR="0066202E" w:rsidRPr="00DF71B2" w:rsidRDefault="00000000" w:rsidP="00DF71B2">
      <w:pPr>
        <w:pStyle w:val="Heading4"/>
        <w:rPr>
          <w:rFonts w:ascii="Arial" w:hAnsi="Arial" w:cs="Arial"/>
          <w:b/>
          <w:bCs/>
          <w:i w:val="0"/>
          <w:iCs w:val="0"/>
          <w:color w:val="000000" w:themeColor="text1"/>
        </w:rPr>
      </w:pPr>
      <w:bookmarkStart w:id="20" w:name="heading_20"/>
      <w:r w:rsidRPr="00DF71B2">
        <w:rPr>
          <w:rFonts w:ascii="Arial" w:hAnsi="Arial" w:cs="Arial"/>
          <w:b/>
          <w:bCs/>
          <w:i w:val="0"/>
          <w:iCs w:val="0"/>
          <w:color w:val="000000" w:themeColor="text1"/>
        </w:rPr>
        <w:t>2.3.3.4 Error Metric</w:t>
      </w:r>
      <w:bookmarkEnd w:id="20"/>
    </w:p>
    <w:p w14:paraId="616AE3F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define the time-varying difference between</w:t>
      </w:r>
      <m:oMath>
        <m:r>
          <w:rPr>
            <w:rFonts w:ascii="Cambria Math" w:hAnsi="Cambria Math"/>
            <w:sz w:val="22"/>
            <w:szCs w:val="22"/>
          </w:rPr>
          <m:t>ICLD</m:t>
        </m:r>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and </w:t>
      </w:r>
      <m:oMath>
        <m:acc>
          <m:accPr>
            <m:ctrlPr>
              <w:rPr>
                <w:rFonts w:ascii="Cambria Math" w:hAnsi="Cambria Math"/>
                <w:sz w:val="22"/>
                <w:szCs w:val="22"/>
              </w:rPr>
            </m:ctrlPr>
          </m:accPr>
          <m:e>
            <m:r>
              <w:rPr>
                <w:rFonts w:ascii="Cambria Math" w:hAnsi="Cambria Math"/>
                <w:sz w:val="22"/>
                <w:szCs w:val="22"/>
              </w:rPr>
              <m:t>ICLD</m:t>
            </m:r>
          </m:e>
        </m:acc>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in dB</w:t>
      </w:r>
    </w:p>
    <w:p w14:paraId="5CB76DCA" w14:textId="493FEB21" w:rsidR="0066202E" w:rsidRPr="008C1860" w:rsidRDefault="008C1860">
      <w:pPr>
        <w:spacing w:before="120" w:after="120" w:line="288" w:lineRule="auto"/>
        <w:rPr>
          <w:i/>
          <w:iCs/>
          <w:sz w:val="22"/>
          <w:szCs w:val="22"/>
        </w:rPr>
      </w:pPr>
      <m:oMathPara>
        <m:oMath>
          <m:r>
            <w:rPr>
              <w:rFonts w:ascii="Cambria Math" w:hAnsi="Cambria Math"/>
              <w:sz w:val="22"/>
              <w:szCs w:val="22"/>
            </w:rPr>
            <m:t>Δ ICLD(k)=|</m:t>
          </m:r>
          <m:acc>
            <m:accPr>
              <m:ctrlPr>
                <w:rPr>
                  <w:rFonts w:ascii="Cambria Math" w:hAnsi="Cambria Math"/>
                  <w:i/>
                  <w:iCs/>
                  <w:sz w:val="22"/>
                  <w:szCs w:val="22"/>
                </w:rPr>
              </m:ctrlPr>
            </m:accPr>
            <m:e>
              <m:r>
                <w:rPr>
                  <w:rFonts w:ascii="Cambria Math" w:hAnsi="Cambria Math"/>
                  <w:sz w:val="22"/>
                  <w:szCs w:val="22"/>
                </w:rPr>
                <m:t>ICLD</m:t>
              </m:r>
            </m:e>
          </m:acc>
          <m:r>
            <w:rPr>
              <w:rFonts w:ascii="Cambria Math" w:hAnsi="Cambria Math"/>
              <w:sz w:val="22"/>
              <w:szCs w:val="22"/>
            </w:rPr>
            <m:t>(k)-ICLD(k)|</m:t>
          </m:r>
          <m:r>
            <w:rPr>
              <w:rFonts w:ascii="Cambria Math" w:hAnsi="Cambria Math"/>
              <w:sz w:val="22"/>
              <w:szCs w:val="22"/>
            </w:rPr>
            <m:t xml:space="preserve"> </m:t>
          </m:r>
        </m:oMath>
      </m:oMathPara>
    </w:p>
    <w:p w14:paraId="03FBC50A" w14:textId="77777777" w:rsidR="0066202E" w:rsidRPr="00DF71B2" w:rsidRDefault="00000000" w:rsidP="00DF71B2">
      <w:pPr>
        <w:pStyle w:val="Heading4"/>
        <w:rPr>
          <w:rFonts w:ascii="Arial" w:hAnsi="Arial" w:cs="Arial"/>
          <w:b/>
          <w:bCs/>
          <w:i w:val="0"/>
          <w:iCs w:val="0"/>
          <w:color w:val="000000" w:themeColor="text1"/>
        </w:rPr>
      </w:pPr>
      <w:bookmarkStart w:id="21" w:name="heading_21"/>
      <w:r w:rsidRPr="00DF71B2">
        <w:rPr>
          <w:rFonts w:ascii="Arial" w:hAnsi="Arial" w:cs="Arial"/>
          <w:b/>
          <w:bCs/>
          <w:i w:val="0"/>
          <w:iCs w:val="0"/>
          <w:color w:val="000000" w:themeColor="text1"/>
        </w:rPr>
        <w:t>2.3.3.5 Extra Requirement</w:t>
      </w:r>
      <w:bookmarkEnd w:id="21"/>
    </w:p>
    <w:p w14:paraId="6CC2BE4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Subjective tests are mandatory for binaural output format.</w:t>
      </w:r>
    </w:p>
    <w:p w14:paraId="060A01EF" w14:textId="77777777" w:rsidR="0066202E" w:rsidRPr="00DF71B2" w:rsidRDefault="00000000" w:rsidP="00DF71B2">
      <w:pPr>
        <w:pStyle w:val="Heading4"/>
        <w:rPr>
          <w:rFonts w:ascii="Arial" w:hAnsi="Arial" w:cs="Arial"/>
          <w:b/>
          <w:bCs/>
          <w:i w:val="0"/>
          <w:iCs w:val="0"/>
          <w:color w:val="000000" w:themeColor="text1"/>
        </w:rPr>
      </w:pPr>
      <w:bookmarkStart w:id="22" w:name="heading_22"/>
      <w:r w:rsidRPr="00DF71B2">
        <w:rPr>
          <w:rFonts w:ascii="Arial" w:hAnsi="Arial" w:cs="Arial"/>
          <w:b/>
          <w:bCs/>
          <w:i w:val="0"/>
          <w:iCs w:val="0"/>
          <w:color w:val="000000" w:themeColor="text1"/>
        </w:rPr>
        <w:t>2.3.3.6 Test Result</w:t>
      </w:r>
      <w:bookmarkEnd w:id="22"/>
    </w:p>
    <w:p w14:paraId="48F8EF6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plots:</w:t>
      </w:r>
    </w:p>
    <w:p w14:paraId="11048056"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30BB7330" wp14:editId="5FF8E8DA">
            <wp:extent cx="3278293" cy="3027680"/>
            <wp:effectExtent l="0" t="0" r="0" b="0"/>
            <wp:docPr id="4" name="Drawing 4"/>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11"/>
                    <a:stretch>
                      <a:fillRect/>
                    </a:stretch>
                  </pic:blipFill>
                  <pic:spPr>
                    <a:xfrm>
                      <a:off x="0" y="0"/>
                      <a:ext cx="3317504" cy="3063894"/>
                    </a:xfrm>
                    <a:prstGeom prst="rect">
                      <a:avLst/>
                    </a:prstGeom>
                  </pic:spPr>
                </pic:pic>
              </a:graphicData>
            </a:graphic>
          </wp:inline>
        </w:drawing>
      </w:r>
    </w:p>
    <w:p w14:paraId="1C8B207B" w14:textId="4240EA01"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3</w:t>
      </w:r>
      <w:r w:rsidRPr="00A46BD2">
        <w:rPr>
          <w:rFonts w:ascii="Arial" w:eastAsia="DengXian" w:hAnsi="Arial" w:cs="Arial"/>
          <w:b/>
          <w:sz w:val="21"/>
          <w:szCs w:val="22"/>
        </w:rPr>
        <w:t xml:space="preserve">: </w:t>
      </w:r>
      <w:r>
        <w:rPr>
          <w:rFonts w:ascii="Arial" w:eastAsia="DengXian" w:hAnsi="Arial" w:cs="Arial"/>
          <w:b/>
          <w:sz w:val="21"/>
          <w:szCs w:val="22"/>
          <w:lang w:val="en-US"/>
        </w:rPr>
        <w:t>Binaural</w:t>
      </w:r>
      <w:r>
        <w:rPr>
          <w:rFonts w:ascii="Arial" w:eastAsia="DengXian" w:hAnsi="Arial" w:cs="Arial"/>
          <w:b/>
          <w:sz w:val="21"/>
          <w:szCs w:val="22"/>
          <w:lang w:val="en-US"/>
        </w:rPr>
        <w:t xml:space="preserve"> Test Result with </w:t>
      </w:r>
      <w:r>
        <w:rPr>
          <w:rFonts w:ascii="Arial" w:eastAsia="DengXian" w:hAnsi="Arial" w:cs="Arial"/>
          <w:b/>
          <w:sz w:val="21"/>
          <w:szCs w:val="22"/>
          <w:lang w:val="en-US"/>
        </w:rPr>
        <w:t>Simulated</w:t>
      </w:r>
      <w:r>
        <w:rPr>
          <w:rFonts w:ascii="Arial" w:eastAsia="DengXian" w:hAnsi="Arial" w:cs="Arial"/>
          <w:b/>
          <w:sz w:val="21"/>
          <w:szCs w:val="22"/>
          <w:lang w:val="en-US"/>
        </w:rPr>
        <w:t xml:space="preserve"> Data</w:t>
      </w:r>
    </w:p>
    <w:p w14:paraId="2193FC90" w14:textId="2069D2F2" w:rsidR="00DF71B2" w:rsidRPr="008A0AE4" w:rsidRDefault="00DF71B2">
      <w:pPr>
        <w:rPr>
          <w:rFonts w:ascii="Arial" w:eastAsia="DengXian" w:hAnsi="Arial" w:cs="Arial"/>
          <w:sz w:val="21"/>
          <w:szCs w:val="22"/>
          <w:lang w:val="en-US"/>
        </w:rPr>
      </w:pPr>
    </w:p>
    <w:p w14:paraId="74BC0EC6" w14:textId="77A21F34" w:rsidR="0066202E" w:rsidRPr="00A46BD2" w:rsidRDefault="00000000">
      <w:pPr>
        <w:spacing w:before="120" w:after="120" w:line="288" w:lineRule="auto"/>
        <w:rPr>
          <w:sz w:val="22"/>
          <w:szCs w:val="22"/>
        </w:rPr>
      </w:pPr>
      <w:r w:rsidRPr="00A46BD2">
        <w:rPr>
          <w:rFonts w:ascii="Arial" w:eastAsia="DengXian" w:hAnsi="Arial" w:cs="Arial"/>
          <w:sz w:val="21"/>
          <w:szCs w:val="22"/>
        </w:rPr>
        <w:lastRenderedPageBreak/>
        <w:t>To further verify the effectiveness of our test method, we also tested a legacy in-house spatial audio recording solution, and got the following results:</w:t>
      </w:r>
    </w:p>
    <w:p w14:paraId="6D8FB039" w14:textId="77777777" w:rsidR="0066202E" w:rsidRDefault="00000000">
      <w:pPr>
        <w:spacing w:before="120" w:after="120" w:line="288" w:lineRule="auto"/>
        <w:jc w:val="center"/>
        <w:rPr>
          <w:sz w:val="22"/>
          <w:szCs w:val="22"/>
        </w:rPr>
      </w:pPr>
      <w:r w:rsidRPr="00A46BD2">
        <w:rPr>
          <w:noProof/>
          <w:sz w:val="22"/>
          <w:szCs w:val="22"/>
        </w:rPr>
        <w:drawing>
          <wp:inline distT="0" distB="0" distL="0" distR="0" wp14:anchorId="5D4CB407" wp14:editId="094B939D">
            <wp:extent cx="3359573" cy="3468370"/>
            <wp:effectExtent l="0" t="0" r="0" b="0"/>
            <wp:docPr id="5" name="Drawing 5"/>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icPr>
                  <pic:blipFill>
                    <a:blip r:embed="rId12"/>
                    <a:stretch>
                      <a:fillRect/>
                    </a:stretch>
                  </pic:blipFill>
                  <pic:spPr>
                    <a:xfrm>
                      <a:off x="0" y="0"/>
                      <a:ext cx="3379504" cy="3488946"/>
                    </a:xfrm>
                    <a:prstGeom prst="rect">
                      <a:avLst/>
                    </a:prstGeom>
                  </pic:spPr>
                </pic:pic>
              </a:graphicData>
            </a:graphic>
          </wp:inline>
        </w:drawing>
      </w:r>
    </w:p>
    <w:p w14:paraId="7104F4E9" w14:textId="70EAC82E"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4</w:t>
      </w:r>
      <w:r w:rsidRPr="00A46BD2">
        <w:rPr>
          <w:rFonts w:ascii="Arial" w:eastAsia="DengXian" w:hAnsi="Arial" w:cs="Arial"/>
          <w:b/>
          <w:sz w:val="21"/>
          <w:szCs w:val="22"/>
        </w:rPr>
        <w:t xml:space="preserve">: </w:t>
      </w:r>
      <w:r>
        <w:rPr>
          <w:rFonts w:ascii="Arial" w:eastAsia="DengXian" w:hAnsi="Arial" w:cs="Arial"/>
          <w:b/>
          <w:sz w:val="21"/>
          <w:szCs w:val="22"/>
          <w:lang w:val="en-US"/>
        </w:rPr>
        <w:t xml:space="preserve">Binaural Test Result with </w:t>
      </w:r>
      <w:r>
        <w:rPr>
          <w:rFonts w:ascii="Arial" w:eastAsia="DengXian" w:hAnsi="Arial" w:cs="Arial"/>
          <w:b/>
          <w:sz w:val="21"/>
          <w:szCs w:val="22"/>
          <w:lang w:val="en-US"/>
        </w:rPr>
        <w:t>Recorded</w:t>
      </w:r>
      <w:r>
        <w:rPr>
          <w:rFonts w:ascii="Arial" w:eastAsia="DengXian" w:hAnsi="Arial" w:cs="Arial"/>
          <w:b/>
          <w:sz w:val="21"/>
          <w:szCs w:val="22"/>
          <w:lang w:val="en-US"/>
        </w:rPr>
        <w:t xml:space="preserve"> Data</w:t>
      </w:r>
    </w:p>
    <w:p w14:paraId="005A55E8" w14:textId="77777777" w:rsidR="0066202E" w:rsidRPr="00117C7C" w:rsidRDefault="00000000" w:rsidP="00117C7C">
      <w:pPr>
        <w:pStyle w:val="Heading1"/>
        <w:spacing w:line="360" w:lineRule="auto"/>
        <w:rPr>
          <w:rFonts w:cs="Arial"/>
        </w:rPr>
      </w:pPr>
      <w:bookmarkStart w:id="23" w:name="heading_29"/>
      <w:r w:rsidRPr="00117C7C">
        <w:rPr>
          <w:rFonts w:cs="Arial"/>
        </w:rPr>
        <w:t>3 Proposal</w:t>
      </w:r>
      <w:bookmarkEnd w:id="23"/>
    </w:p>
    <w:p w14:paraId="249E444E"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kindly ask the SWG to accept our proposed subjective test method as part of the immersive audio capture test. Agreements can be made on a format-to-format basis.</w:t>
      </w:r>
    </w:p>
    <w:p w14:paraId="66AF1F74" w14:textId="77777777" w:rsidR="0066202E" w:rsidRPr="00117C7C" w:rsidRDefault="00000000" w:rsidP="00117C7C">
      <w:pPr>
        <w:pStyle w:val="Heading1"/>
        <w:spacing w:line="360" w:lineRule="auto"/>
        <w:rPr>
          <w:rFonts w:cs="Arial"/>
        </w:rPr>
      </w:pPr>
      <w:bookmarkStart w:id="24" w:name="heading_30"/>
      <w:r w:rsidRPr="00117C7C">
        <w:rPr>
          <w:rFonts w:cs="Arial"/>
        </w:rPr>
        <w:t>References</w:t>
      </w:r>
      <w:bookmarkEnd w:id="24"/>
    </w:p>
    <w:p w14:paraId="6756996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[1] TS </w:t>
      </w:r>
      <w:hyperlink r:id="rId13">
        <w:r w:rsidRPr="00A46BD2">
          <w:rPr>
            <w:rFonts w:ascii="Arial" w:eastAsia="DengXian" w:hAnsi="Arial" w:cs="Arial"/>
            <w:color w:val="3370FF"/>
            <w:sz w:val="21"/>
            <w:szCs w:val="22"/>
          </w:rPr>
          <w:t>26.259</w:t>
        </w:r>
      </w:hyperlink>
      <w:r w:rsidRPr="00A46BD2">
        <w:rPr>
          <w:rFonts w:ascii="Arial" w:eastAsia="DengXian" w:hAnsi="Arial" w:cs="Arial"/>
          <w:sz w:val="21"/>
          <w:szCs w:val="22"/>
        </w:rPr>
        <w:t>, Subjective test methodologies for the evaluation of immersive audio systems</w:t>
      </w:r>
    </w:p>
    <w:p w14:paraId="0048E73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[2] TS </w:t>
      </w:r>
      <w:hyperlink r:id="rId14">
        <w:r w:rsidRPr="00A46BD2">
          <w:rPr>
            <w:rFonts w:ascii="Arial" w:eastAsia="DengXian" w:hAnsi="Arial" w:cs="Arial"/>
            <w:color w:val="3370FF"/>
            <w:sz w:val="21"/>
            <w:szCs w:val="22"/>
          </w:rPr>
          <w:t>26.260</w:t>
        </w:r>
      </w:hyperlink>
      <w:r w:rsidRPr="00A46BD2">
        <w:rPr>
          <w:rFonts w:ascii="Arial" w:eastAsia="DengXian" w:hAnsi="Arial" w:cs="Arial"/>
          <w:sz w:val="21"/>
          <w:szCs w:val="22"/>
        </w:rPr>
        <w:t>, Objective test methodologies for the evaluation of immersive audio systems.</w:t>
      </w:r>
    </w:p>
    <w:p w14:paraId="07DA925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[3] Pulkki, V. (1997). Virtual Sound Source Positioning Using Vector Base Amplitude Panning. Journal of The Audio Engineering Society.</w:t>
      </w:r>
    </w:p>
    <w:sectPr w:rsidR="0066202E" w:rsidRPr="00A46BD2">
      <w:headerReference w:type="default" r:id="rId15"/>
      <w:pgSz w:w="11905"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BC16E" w14:textId="77777777" w:rsidR="002333A2" w:rsidRDefault="002333A2">
      <w:r>
        <w:separator/>
      </w:r>
    </w:p>
  </w:endnote>
  <w:endnote w:type="continuationSeparator" w:id="0">
    <w:p w14:paraId="520AD51B" w14:textId="77777777" w:rsidR="002333A2" w:rsidRDefault="0023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7EC25" w14:textId="77777777" w:rsidR="002333A2" w:rsidRDefault="002333A2">
      <w:r>
        <w:separator/>
      </w:r>
    </w:p>
  </w:footnote>
  <w:footnote w:type="continuationSeparator" w:id="0">
    <w:p w14:paraId="15C2048E" w14:textId="77777777" w:rsidR="002333A2" w:rsidRDefault="00233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497DD" w14:textId="62D5993B" w:rsidR="00A46BD2" w:rsidRPr="00887CFF" w:rsidRDefault="00A46BD2" w:rsidP="00A46BD2">
    <w:pPr>
      <w:pStyle w:val="Header"/>
      <w:tabs>
        <w:tab w:val="right" w:pos="9638"/>
      </w:tabs>
      <w:rPr>
        <w:lang w:val="en-US"/>
      </w:rPr>
    </w:pPr>
    <w:r w:rsidRPr="003C7DFA">
      <w:rPr>
        <w:bCs/>
      </w:rPr>
      <w:t>3GPP SA4</w:t>
    </w:r>
    <w:r>
      <w:rPr>
        <w:rFonts w:hint="eastAsia"/>
        <w:bCs/>
      </w:rPr>
      <w:t xml:space="preserve"> </w:t>
    </w:r>
    <w:r w:rsidRPr="009C4CEF">
      <w:rPr>
        <w:bCs/>
      </w:rPr>
      <w:t>WG4#130</w:t>
    </w:r>
    <w:r w:rsidR="00202157">
      <w:rPr>
        <w:bCs/>
        <w:lang w:val="en-US"/>
      </w:rPr>
      <w:t>-e</w:t>
    </w:r>
    <w:r w:rsidRPr="003C7DFA">
      <w:rPr>
        <w:bCs/>
      </w:rPr>
      <w:t xml:space="preserve"> </w:t>
    </w:r>
    <w:r w:rsidR="00202157" w:rsidRPr="00887CFF">
      <w:rPr>
        <w:lang w:val="en-US"/>
      </w:rPr>
      <w:tab/>
    </w:r>
    <w:r w:rsidR="00202157" w:rsidRPr="00887CFF">
      <w:rPr>
        <w:lang w:val="en-US"/>
      </w:rPr>
      <w:tab/>
    </w:r>
    <w:r w:rsidR="002139C3" w:rsidRPr="002139C3">
      <w:rPr>
        <w:lang w:val="en-US"/>
      </w:rPr>
      <w:t>SA4aA250002</w:t>
    </w:r>
  </w:p>
  <w:p w14:paraId="3576B784" w14:textId="1A22D313" w:rsidR="00A46BD2" w:rsidRPr="006C7CD6" w:rsidRDefault="00202157" w:rsidP="00A46BD2">
    <w:pPr>
      <w:pStyle w:val="Header"/>
      <w:rPr>
        <w:lang w:val="en-US"/>
      </w:rPr>
    </w:pPr>
    <w:r>
      <w:rPr>
        <w:bCs/>
        <w:lang w:val="en-US"/>
      </w:rPr>
      <w:t>Online</w:t>
    </w:r>
    <w:r w:rsidR="00A46BD2" w:rsidRPr="009C4CEF">
      <w:rPr>
        <w:bCs/>
      </w:rPr>
      <w:t>, 1</w:t>
    </w:r>
    <w:r>
      <w:rPr>
        <w:bCs/>
        <w:lang w:val="en-US"/>
      </w:rPr>
      <w:t>0</w:t>
    </w:r>
    <w:r w:rsidR="00A46BD2" w:rsidRPr="009C4CEF">
      <w:rPr>
        <w:bCs/>
      </w:rPr>
      <w:t xml:space="preserve"> </w:t>
    </w:r>
    <w:r>
      <w:rPr>
        <w:bCs/>
        <w:lang w:val="en-US"/>
      </w:rPr>
      <w:t>January</w:t>
    </w:r>
    <w:r w:rsidR="00A46BD2" w:rsidRPr="009C4CEF">
      <w:rPr>
        <w:bCs/>
      </w:rPr>
      <w:t xml:space="preserve"> 202</w:t>
    </w:r>
    <w:r>
      <w:rPr>
        <w:bCs/>
        <w:lang w:val="en-US"/>
      </w:rPr>
      <w:t>5</w:t>
    </w:r>
    <w:r w:rsidR="00A46BD2">
      <w:tab/>
    </w:r>
    <w:r w:rsidR="00A46BD2">
      <w:tab/>
    </w:r>
    <w:r w:rsidR="00A46BD2">
      <w:tab/>
    </w:r>
    <w:r w:rsidR="00A46BD2">
      <w:tab/>
    </w:r>
    <w:r w:rsidR="00A46BD2">
      <w:rPr>
        <w:rFonts w:hint="eastAsia"/>
      </w:rPr>
      <w:t xml:space="preserve">       </w:t>
    </w:r>
    <w:r w:rsidR="00A46BD2">
      <w:tab/>
    </w:r>
    <w:r w:rsidR="00A46BD2">
      <w:tab/>
    </w:r>
    <w:r w:rsidR="00A46BD2">
      <w:tab/>
    </w:r>
    <w:r w:rsidR="00A46BD2">
      <w:tab/>
    </w:r>
    <w:r w:rsidR="00A46BD2">
      <w:rPr>
        <w:rFonts w:hint="eastAsia"/>
      </w:rPr>
      <w:t xml:space="preserve">       </w:t>
    </w:r>
  </w:p>
  <w:p w14:paraId="554CDBE0" w14:textId="77777777" w:rsidR="0066202E" w:rsidRDefault="002333A2">
    <w:r>
      <w:rPr>
        <w:noProof/>
      </w:rPr>
      <w:pict w14:anchorId="6474B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414pt;height:697.5pt;z-index:-251658752;mso-wrap-edited:f;mso-width-percent:0;mso-height-percent:0;mso-position-horizontal:center;mso-position-horizontal-relative:margin;mso-position-vertical:center;mso-position-vertical-relative:margin;mso-width-percent:0;mso-height-percent:0" o:allowincell="f">
          <v:imagedata r:id="rId1" o:title="image89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09C3"/>
    <w:multiLevelType w:val="multilevel"/>
    <w:tmpl w:val="5D1A0F06"/>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E83C20"/>
    <w:multiLevelType w:val="multilevel"/>
    <w:tmpl w:val="8E8282BE"/>
    <w:lvl w:ilvl="0">
      <w:start w:val="2"/>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F34682"/>
    <w:multiLevelType w:val="multilevel"/>
    <w:tmpl w:val="3D0C89DC"/>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D208CD"/>
    <w:multiLevelType w:val="multilevel"/>
    <w:tmpl w:val="9CA6F75A"/>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B9D67F4"/>
    <w:multiLevelType w:val="hybridMultilevel"/>
    <w:tmpl w:val="9170E29C"/>
    <w:lvl w:ilvl="0" w:tplc="0DBA1D54">
      <w:start w:val="1"/>
      <w:numFmt w:val="decimalZero"/>
      <w:pStyle w:val="Paragraph1to99"/>
      <w:lvlText w:val="[00%1]"/>
      <w:lvlJc w:val="left"/>
      <w:pPr>
        <w:tabs>
          <w:tab w:val="num" w:pos="1077"/>
        </w:tabs>
        <w:ind w:left="0" w:firstLine="0"/>
      </w:pPr>
      <w:rPr>
        <w:rFonts w:ascii="Times New Roman" w:hAnsi="Times New Roman" w:cs="Times New Roman" w:hint="default"/>
        <w:b/>
        <w:i w:val="0"/>
        <w:color w:val="auto"/>
        <w:sz w:val="24"/>
        <w:szCs w:val="24"/>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CCA7B43"/>
    <w:multiLevelType w:val="multilevel"/>
    <w:tmpl w:val="0ECADB3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F97CAC"/>
    <w:multiLevelType w:val="multilevel"/>
    <w:tmpl w:val="48CAD55C"/>
    <w:lvl w:ilvl="0">
      <w:start w:val="4"/>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9F1B1F"/>
    <w:multiLevelType w:val="multilevel"/>
    <w:tmpl w:val="384E6E8A"/>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E86D5D"/>
    <w:multiLevelType w:val="multilevel"/>
    <w:tmpl w:val="B99E90A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FF1B54"/>
    <w:multiLevelType w:val="multilevel"/>
    <w:tmpl w:val="378C429E"/>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E43084"/>
    <w:multiLevelType w:val="multilevel"/>
    <w:tmpl w:val="C4F0BA6E"/>
    <w:lvl w:ilvl="0">
      <w:start w:val="1"/>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9EA69E6"/>
    <w:multiLevelType w:val="multilevel"/>
    <w:tmpl w:val="F2763A6A"/>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020B50"/>
    <w:multiLevelType w:val="multilevel"/>
    <w:tmpl w:val="5F2A4558"/>
    <w:lvl w:ilvl="0">
      <w:start w:val="3"/>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09917472">
    <w:abstractNumId w:val="5"/>
  </w:num>
  <w:num w:numId="2" w16cid:durableId="1828469679">
    <w:abstractNumId w:val="2"/>
  </w:num>
  <w:num w:numId="3" w16cid:durableId="1825968037">
    <w:abstractNumId w:val="7"/>
  </w:num>
  <w:num w:numId="4" w16cid:durableId="1961717525">
    <w:abstractNumId w:val="10"/>
  </w:num>
  <w:num w:numId="5" w16cid:durableId="773748526">
    <w:abstractNumId w:val="1"/>
  </w:num>
  <w:num w:numId="6" w16cid:durableId="1110704166">
    <w:abstractNumId w:val="12"/>
  </w:num>
  <w:num w:numId="7" w16cid:durableId="552280018">
    <w:abstractNumId w:val="6"/>
  </w:num>
  <w:num w:numId="8" w16cid:durableId="714814224">
    <w:abstractNumId w:val="3"/>
  </w:num>
  <w:num w:numId="9" w16cid:durableId="248395382">
    <w:abstractNumId w:val="11"/>
  </w:num>
  <w:num w:numId="10" w16cid:durableId="1090345495">
    <w:abstractNumId w:val="8"/>
  </w:num>
  <w:num w:numId="11" w16cid:durableId="429353499">
    <w:abstractNumId w:val="9"/>
  </w:num>
  <w:num w:numId="12" w16cid:durableId="1264413032">
    <w:abstractNumId w:val="0"/>
  </w:num>
  <w:num w:numId="13" w16cid:durableId="3272928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202E"/>
    <w:rsid w:val="00117C7C"/>
    <w:rsid w:val="00202157"/>
    <w:rsid w:val="002139C3"/>
    <w:rsid w:val="002333A2"/>
    <w:rsid w:val="00377A86"/>
    <w:rsid w:val="0066202E"/>
    <w:rsid w:val="008A0AE4"/>
    <w:rsid w:val="008C1860"/>
    <w:rsid w:val="009701A6"/>
    <w:rsid w:val="009A03B5"/>
    <w:rsid w:val="00A46BD2"/>
    <w:rsid w:val="00C0564C"/>
    <w:rsid w:val="00D317B3"/>
    <w:rsid w:val="00D6614D"/>
    <w:rsid w:val="00DF71B2"/>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CF00F"/>
  <w15:docId w15:val="{B68092A2-A51E-4949-9387-0F546E85D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N"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202157"/>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202157"/>
    <w:pPr>
      <w:pBdr>
        <w:top w:val="none" w:sz="0" w:space="0" w:color="auto"/>
      </w:pBdr>
      <w:spacing w:before="180"/>
      <w:outlineLvl w:val="1"/>
    </w:pPr>
    <w:rPr>
      <w:sz w:val="32"/>
    </w:rPr>
  </w:style>
  <w:style w:type="paragraph" w:styleId="Heading3">
    <w:name w:val="heading 3"/>
    <w:basedOn w:val="Heading2"/>
    <w:next w:val="Normal"/>
    <w:link w:val="Heading3Char"/>
    <w:qFormat/>
    <w:rsid w:val="00117C7C"/>
    <w:pPr>
      <w:spacing w:before="120"/>
      <w:outlineLvl w:val="2"/>
    </w:pPr>
    <w:rPr>
      <w:sz w:val="28"/>
    </w:rPr>
  </w:style>
  <w:style w:type="paragraph" w:styleId="Heading4">
    <w:name w:val="heading 4"/>
    <w:basedOn w:val="Normal"/>
    <w:next w:val="Normal"/>
    <w:link w:val="Heading4Char"/>
    <w:uiPriority w:val="9"/>
    <w:unhideWhenUsed/>
    <w:qFormat/>
    <w:rsid w:val="00377A8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46BD2"/>
    <w:pPr>
      <w:tabs>
        <w:tab w:val="center" w:pos="4680"/>
        <w:tab w:val="right" w:pos="9360"/>
      </w:tabs>
    </w:pPr>
  </w:style>
  <w:style w:type="character" w:customStyle="1" w:styleId="HeaderChar">
    <w:name w:val="Header Char"/>
    <w:basedOn w:val="DefaultParagraphFont"/>
    <w:link w:val="Header"/>
    <w:rsid w:val="00A46BD2"/>
  </w:style>
  <w:style w:type="paragraph" w:styleId="Footer">
    <w:name w:val="footer"/>
    <w:basedOn w:val="Normal"/>
    <w:link w:val="FooterChar"/>
    <w:uiPriority w:val="99"/>
    <w:unhideWhenUsed/>
    <w:rsid w:val="00A46BD2"/>
    <w:pPr>
      <w:tabs>
        <w:tab w:val="center" w:pos="4680"/>
        <w:tab w:val="right" w:pos="9360"/>
      </w:tabs>
    </w:pPr>
  </w:style>
  <w:style w:type="character" w:customStyle="1" w:styleId="FooterChar">
    <w:name w:val="Footer Char"/>
    <w:basedOn w:val="DefaultParagraphFont"/>
    <w:link w:val="Footer"/>
    <w:uiPriority w:val="99"/>
    <w:rsid w:val="00A46BD2"/>
  </w:style>
  <w:style w:type="character" w:customStyle="1" w:styleId="Heading1Char">
    <w:name w:val="Heading 1 Char"/>
    <w:basedOn w:val="DefaultParagraphFont"/>
    <w:link w:val="Heading1"/>
    <w:rsid w:val="00202157"/>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202157"/>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117C7C"/>
    <w:rPr>
      <w:rFonts w:ascii="Arial" w:hAnsi="Arial" w:cs="Times New Roman"/>
      <w:kern w:val="0"/>
      <w:sz w:val="28"/>
      <w:szCs w:val="20"/>
      <w:lang w:val="en-GB" w:eastAsia="en-US"/>
    </w:rPr>
  </w:style>
  <w:style w:type="character" w:customStyle="1" w:styleId="Heading4Char">
    <w:name w:val="Heading 4 Char"/>
    <w:basedOn w:val="DefaultParagraphFont"/>
    <w:link w:val="Heading4"/>
    <w:uiPriority w:val="9"/>
    <w:rsid w:val="00377A86"/>
    <w:rPr>
      <w:rFonts w:asciiTheme="majorHAnsi" w:eastAsiaTheme="majorEastAsia" w:hAnsiTheme="majorHAnsi" w:cstheme="majorBidi"/>
      <w:i/>
      <w:iCs/>
      <w:color w:val="2F5496" w:themeColor="accent1" w:themeShade="BF"/>
    </w:rPr>
  </w:style>
  <w:style w:type="paragraph" w:customStyle="1" w:styleId="Paragraph1to99">
    <w:name w:val="Paragraph 1 to 99"/>
    <w:basedOn w:val="Normal"/>
    <w:link w:val="Paragraph1to99Char"/>
    <w:rsid w:val="00D6614D"/>
    <w:pPr>
      <w:widowControl w:val="0"/>
      <w:numPr>
        <w:numId w:val="13"/>
      </w:numPr>
      <w:spacing w:line="360" w:lineRule="auto"/>
      <w:jc w:val="both"/>
    </w:pPr>
    <w:rPr>
      <w:rFonts w:ascii="Times New Roman" w:eastAsia="SimSun" w:hAnsi="Times New Roman" w:cs="Times New Roman"/>
      <w:lang w:val="en-US"/>
    </w:rPr>
  </w:style>
  <w:style w:type="character" w:customStyle="1" w:styleId="Paragraph1to99Char">
    <w:name w:val="Paragraph 1 to 99 Char"/>
    <w:link w:val="Paragraph1to99"/>
    <w:rsid w:val="00D6614D"/>
    <w:rPr>
      <w:rFonts w:ascii="Times New Roman" w:eastAsia="SimSu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etsi.org/deliver/etsi_ts/126200_126299/126259/18.00.00_60/ts_126259v180000p.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portal.3gpp.org/desktopmodules/Specifications/SpecificationDetails.aspx?specificationId=33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叶煦舟</cp:lastModifiedBy>
  <cp:revision>13</cp:revision>
  <dcterms:created xsi:type="dcterms:W3CDTF">2025-01-09T12:37:00Z</dcterms:created>
  <dcterms:modified xsi:type="dcterms:W3CDTF">2025-01-09T12:56:00Z</dcterms:modified>
</cp:coreProperties>
</file>